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黑体" w:hAnsi="黑体" w:eastAsia="黑体" w:cs="黑体"/>
          <w:b w:val="0"/>
          <w:bCs w:val="0"/>
          <w:kern w:val="0"/>
          <w:sz w:val="44"/>
          <w:szCs w:val="44"/>
        </w:rPr>
      </w:pPr>
      <w:bookmarkStart w:id="0" w:name="_Toc299973657"/>
      <w:r>
        <w:rPr>
          <w:rFonts w:hint="eastAsia" w:ascii="黑体" w:hAnsi="黑体" w:eastAsia="黑体" w:cs="黑体"/>
          <w:b w:val="0"/>
          <w:bCs w:val="0"/>
          <w:kern w:val="0"/>
          <w:sz w:val="44"/>
          <w:szCs w:val="44"/>
        </w:rPr>
        <w:t>湖北省生产安全事故</w:t>
      </w:r>
    </w:p>
    <w:p>
      <w:pPr>
        <w:spacing w:line="560" w:lineRule="exact"/>
        <w:jc w:val="center"/>
        <w:rPr>
          <w:rFonts w:ascii="宋体" w:cs="Arial"/>
          <w:kern w:val="0"/>
          <w:sz w:val="44"/>
          <w:szCs w:val="44"/>
        </w:rPr>
      </w:pPr>
      <w:r>
        <w:rPr>
          <w:rFonts w:hint="eastAsia" w:ascii="黑体" w:hAnsi="黑体" w:eastAsia="黑体" w:cs="黑体"/>
          <w:b w:val="0"/>
          <w:bCs w:val="0"/>
          <w:kern w:val="0"/>
          <w:sz w:val="44"/>
          <w:szCs w:val="44"/>
        </w:rPr>
        <w:t>应急预案管理实施细则</w:t>
      </w:r>
      <w:bookmarkEnd w:id="0"/>
    </w:p>
    <w:p>
      <w:pPr>
        <w:spacing w:line="560" w:lineRule="exact"/>
        <w:jc w:val="center"/>
        <w:rPr>
          <w:rFonts w:ascii="黑体" w:hAnsi="黑体" w:eastAsia="黑体" w:cs="Arial"/>
          <w:b/>
          <w:bCs/>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第一章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总则</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第一条</w:t>
      </w:r>
      <w:r>
        <w:rPr>
          <w:rFonts w:ascii="宋体" w:hAnsi="宋体" w:eastAsia="仿宋_GB2312" w:cs="Arial"/>
          <w:kern w:val="0"/>
          <w:sz w:val="32"/>
          <w:szCs w:val="32"/>
        </w:rPr>
        <w:t xml:space="preserve"> </w:t>
      </w:r>
      <w:r>
        <w:rPr>
          <w:rFonts w:hint="eastAsia" w:ascii="仿宋_GB2312" w:hAnsi="宋体" w:eastAsia="仿宋_GB2312" w:cs="宋体"/>
          <w:kern w:val="0"/>
          <w:sz w:val="32"/>
          <w:szCs w:val="32"/>
        </w:rPr>
        <w:t>为规范生产安全事故应急预案管理，</w:t>
      </w:r>
      <w:r>
        <w:rPr>
          <w:rFonts w:hint="eastAsia" w:ascii="仿宋_GB2312" w:hAnsi="宋体" w:eastAsia="仿宋_GB2312" w:cs="宋体"/>
          <w:b w:val="0"/>
          <w:bCs w:val="0"/>
          <w:color w:val="auto"/>
          <w:kern w:val="0"/>
          <w:sz w:val="32"/>
          <w:szCs w:val="32"/>
        </w:rPr>
        <w:t>有效应对</w:t>
      </w:r>
      <w:r>
        <w:rPr>
          <w:rFonts w:hint="eastAsia" w:ascii="仿宋_GB2312" w:hAnsi="宋体" w:eastAsia="仿宋_GB2312" w:cs="宋体"/>
          <w:kern w:val="0"/>
          <w:sz w:val="32"/>
          <w:szCs w:val="32"/>
        </w:rPr>
        <w:t>生产安全事故，依据《中华人民共和国突发事件应对法》、《中华人民共和国安全生产法》</w:t>
      </w:r>
      <w:r>
        <w:rPr>
          <w:rFonts w:hint="eastAsia" w:ascii="仿宋_GB2312" w:hAnsi="宋体" w:eastAsia="仿宋_GB2312" w:cs="宋体"/>
          <w:color w:val="auto"/>
          <w:kern w:val="0"/>
          <w:sz w:val="32"/>
          <w:szCs w:val="32"/>
        </w:rPr>
        <w:t>、</w:t>
      </w:r>
      <w:r>
        <w:rPr>
          <w:rFonts w:hint="eastAsia" w:ascii="仿宋_GB2312" w:hAnsi="宋体" w:eastAsia="仿宋_GB2312" w:cs="宋体"/>
          <w:b w:val="0"/>
          <w:bCs w:val="0"/>
          <w:color w:val="auto"/>
          <w:kern w:val="0"/>
          <w:sz w:val="32"/>
          <w:szCs w:val="32"/>
        </w:rPr>
        <w:t>《湖北省安全生产条例》等法律法规</w:t>
      </w:r>
      <w:r>
        <w:rPr>
          <w:rFonts w:hint="eastAsia" w:ascii="仿宋_GB2312" w:hAnsi="宋体" w:eastAsia="仿宋_GB2312" w:cs="宋体"/>
          <w:kern w:val="0"/>
          <w:sz w:val="32"/>
          <w:szCs w:val="32"/>
        </w:rPr>
        <w:t>和《突发事件应急预案管理办法》（国办发〔2013〕101号）、《生产安全事故应急预案管理办法》（国家安全监管总局令第88号）</w:t>
      </w:r>
      <w:r>
        <w:rPr>
          <w:rFonts w:hint="eastAsia" w:ascii="仿宋_GB2312" w:hAnsi="宋体" w:eastAsia="仿宋_GB2312" w:cs="宋体"/>
          <w:b w:val="0"/>
          <w:bCs w:val="0"/>
          <w:color w:val="auto"/>
          <w:kern w:val="0"/>
          <w:sz w:val="32"/>
          <w:szCs w:val="32"/>
        </w:rPr>
        <w:t>等规定</w:t>
      </w:r>
      <w:r>
        <w:rPr>
          <w:rFonts w:hint="eastAsia" w:ascii="仿宋_GB2312" w:hAnsi="宋体" w:eastAsia="仿宋_GB2312" w:cs="宋体"/>
          <w:kern w:val="0"/>
          <w:sz w:val="32"/>
          <w:szCs w:val="32"/>
        </w:rPr>
        <w:t>，结合我省实际，制定本细则。</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第二条</w:t>
      </w:r>
      <w:r>
        <w:rPr>
          <w:rFonts w:ascii="仿宋_GB2312" w:hAnsi="宋体" w:eastAsia="仿宋_GB2312" w:cs="Arial"/>
          <w:kern w:val="0"/>
          <w:sz w:val="32"/>
          <w:szCs w:val="32"/>
        </w:rPr>
        <w:t xml:space="preserve"> </w:t>
      </w:r>
      <w:r>
        <w:rPr>
          <w:rFonts w:hint="eastAsia" w:ascii="仿宋_GB2312" w:hAnsi="宋体" w:eastAsia="仿宋_GB2312" w:cs="宋体"/>
          <w:kern w:val="0"/>
          <w:sz w:val="32"/>
          <w:szCs w:val="32"/>
        </w:rPr>
        <w:t>本省行政区域内生产安全事故应急预案（以下简称应急预案）的编制、评审、公布、备案、宣传、教育、培训、演练、评估、修订及监督管理工作，适用本细则。</w:t>
      </w:r>
    </w:p>
    <w:p>
      <w:pPr>
        <w:spacing w:line="560" w:lineRule="exact"/>
        <w:ind w:firstLine="643" w:firstLineChars="200"/>
        <w:rPr>
          <w:rFonts w:ascii="仿宋_GB2312" w:hAnsi="宋体" w:eastAsia="仿宋_GB2312" w:cs="Arial"/>
          <w:color w:val="3333FF"/>
          <w:kern w:val="0"/>
          <w:sz w:val="32"/>
          <w:szCs w:val="32"/>
        </w:rPr>
      </w:pPr>
      <w:r>
        <w:rPr>
          <w:rFonts w:hint="eastAsia" w:ascii="仿宋_GB2312" w:hAnsi="宋体" w:eastAsia="仿宋_GB2312" w:cs="宋体"/>
          <w:kern w:val="0"/>
          <w:sz w:val="32"/>
          <w:szCs w:val="32"/>
        </w:rPr>
        <w:t>法律、行政法规</w:t>
      </w:r>
      <w:r>
        <w:rPr>
          <w:rFonts w:hint="eastAsia" w:ascii="仿宋_GB2312" w:hAnsi="宋体" w:eastAsia="仿宋_GB2312" w:cs="宋体"/>
          <w:color w:val="auto"/>
          <w:kern w:val="0"/>
          <w:sz w:val="32"/>
          <w:szCs w:val="32"/>
        </w:rPr>
        <w:t>和国务院</w:t>
      </w:r>
      <w:r>
        <w:rPr>
          <w:rFonts w:hint="eastAsia" w:ascii="仿宋_GB2312" w:hAnsi="宋体" w:eastAsia="仿宋_GB2312" w:cs="宋体"/>
          <w:kern w:val="0"/>
          <w:sz w:val="32"/>
          <w:szCs w:val="32"/>
        </w:rPr>
        <w:t>另有规定的，依照其规定</w:t>
      </w:r>
      <w:r>
        <w:rPr>
          <w:rFonts w:hint="eastAsia" w:ascii="仿宋_GB2312" w:hAnsi="宋体" w:eastAsia="仿宋_GB2312" w:cs="Arial"/>
          <w:color w:val="3333FF"/>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Arial"/>
          <w:b/>
          <w:bCs/>
          <w:kern w:val="0"/>
          <w:sz w:val="32"/>
          <w:szCs w:val="32"/>
        </w:rPr>
        <w:t>第三条</w:t>
      </w:r>
      <w:r>
        <w:rPr>
          <w:rFonts w:ascii="宋体" w:hAnsi="宋体" w:eastAsia="仿宋_GB2312" w:cs="Arial"/>
          <w:kern w:val="0"/>
          <w:sz w:val="32"/>
          <w:szCs w:val="32"/>
        </w:rPr>
        <w:t xml:space="preserve"> </w:t>
      </w:r>
      <w:r>
        <w:rPr>
          <w:rFonts w:hint="eastAsia" w:ascii="仿宋_GB2312" w:hAnsi="宋体" w:eastAsia="仿宋_GB2312" w:cs="宋体"/>
          <w:kern w:val="0"/>
          <w:sz w:val="32"/>
          <w:szCs w:val="32"/>
        </w:rPr>
        <w:t>应急预案的管理实行属地为主、分级负责、分类指导、综合协调、动态管理的原则。</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省安全生产监</w:t>
      </w:r>
      <w:r>
        <w:rPr>
          <w:rFonts w:hint="eastAsia" w:ascii="仿宋_GB2312" w:hAnsi="宋体" w:eastAsia="仿宋_GB2312" w:cs="宋体"/>
          <w:kern w:val="0"/>
          <w:sz w:val="32"/>
          <w:szCs w:val="32"/>
        </w:rPr>
        <w:t>督</w:t>
      </w:r>
      <w:r>
        <w:rPr>
          <w:rFonts w:hint="eastAsia" w:ascii="仿宋_GB2312" w:hAnsi="宋体" w:eastAsia="仿宋_GB2312" w:cs="宋体"/>
          <w:b w:val="0"/>
          <w:bCs w:val="0"/>
          <w:kern w:val="0"/>
          <w:sz w:val="32"/>
          <w:szCs w:val="32"/>
        </w:rPr>
        <w:t>管理局(以下简称省安监局)</w:t>
      </w:r>
      <w:r>
        <w:rPr>
          <w:rFonts w:hint="eastAsia" w:ascii="仿宋_GB2312" w:hAnsi="宋体" w:eastAsia="仿宋_GB2312" w:cs="宋体"/>
          <w:kern w:val="0"/>
          <w:sz w:val="32"/>
          <w:szCs w:val="32"/>
        </w:rPr>
        <w:t>负责全省应急预案的综合协调管理工作。</w:t>
      </w:r>
      <w:r>
        <w:rPr>
          <w:rFonts w:hint="eastAsia" w:ascii="仿宋_GB2312" w:hAnsi="宋体" w:eastAsia="仿宋_GB2312" w:cs="宋体"/>
          <w:b w:val="0"/>
          <w:bCs w:val="0"/>
          <w:kern w:val="0"/>
          <w:sz w:val="32"/>
          <w:szCs w:val="32"/>
        </w:rPr>
        <w:t>省安全生产应急救援中心承担预案</w:t>
      </w:r>
      <w:r>
        <w:rPr>
          <w:rFonts w:hint="eastAsia" w:ascii="仿宋_GB2312" w:hAnsi="宋体" w:eastAsia="仿宋_GB2312" w:cs="宋体"/>
          <w:b w:val="0"/>
          <w:bCs w:val="0"/>
          <w:kern w:val="0"/>
          <w:sz w:val="32"/>
          <w:szCs w:val="32"/>
          <w:lang w:eastAsia="zh-CN"/>
        </w:rPr>
        <w:t>综合</w:t>
      </w:r>
      <w:r>
        <w:rPr>
          <w:rFonts w:hint="eastAsia" w:ascii="仿宋_GB2312" w:hAnsi="宋体" w:eastAsia="仿宋_GB2312" w:cs="宋体"/>
          <w:b w:val="0"/>
          <w:bCs w:val="0"/>
          <w:kern w:val="0"/>
          <w:sz w:val="32"/>
          <w:szCs w:val="32"/>
        </w:rPr>
        <w:t>管理的具体工作以及技术支撑。</w:t>
      </w:r>
      <w:r>
        <w:rPr>
          <w:rFonts w:hint="eastAsia" w:ascii="仿宋_GB2312" w:hAnsi="宋体" w:eastAsia="仿宋_GB2312" w:cs="宋体"/>
          <w:kern w:val="0"/>
          <w:sz w:val="32"/>
          <w:szCs w:val="32"/>
        </w:rPr>
        <w:t>市（含恩施州、直管市、神农架林区）、县（含县级市、区）安全生产监督管理</w:t>
      </w:r>
      <w:r>
        <w:rPr>
          <w:rFonts w:hint="eastAsia" w:ascii="仿宋_GB2312" w:hAnsi="宋体" w:eastAsia="仿宋_GB2312" w:cs="宋体"/>
          <w:b w:val="0"/>
          <w:bCs w:val="0"/>
          <w:kern w:val="0"/>
          <w:sz w:val="32"/>
          <w:szCs w:val="32"/>
        </w:rPr>
        <w:t>局</w:t>
      </w:r>
      <w:r>
        <w:rPr>
          <w:rFonts w:hint="eastAsia" w:ascii="仿宋_GB2312" w:hAnsi="宋体" w:eastAsia="仿宋_GB2312" w:cs="宋体"/>
          <w:kern w:val="0"/>
          <w:sz w:val="32"/>
          <w:szCs w:val="32"/>
        </w:rPr>
        <w:t>负责本行政区域内应急预案的综合协调管理工作</w:t>
      </w:r>
      <w:r>
        <w:rPr>
          <w:rFonts w:hint="eastAsia" w:ascii="仿宋_GB2312" w:hAnsi="宋体" w:eastAsia="仿宋_GB2312" w:cs="Arial"/>
          <w:kern w:val="0"/>
          <w:sz w:val="32"/>
          <w:szCs w:val="32"/>
        </w:rPr>
        <w:t>。</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宋体"/>
          <w:b w:val="0"/>
          <w:bCs w:val="0"/>
          <w:kern w:val="0"/>
          <w:sz w:val="32"/>
          <w:szCs w:val="32"/>
        </w:rPr>
        <w:t>省、市、县</w:t>
      </w:r>
      <w:r>
        <w:rPr>
          <w:rFonts w:hint="eastAsia" w:ascii="仿宋_GB2312" w:hAnsi="宋体" w:eastAsia="仿宋_GB2312" w:cs="宋体"/>
          <w:kern w:val="0"/>
          <w:sz w:val="32"/>
          <w:szCs w:val="32"/>
        </w:rPr>
        <w:t>其他负有</w:t>
      </w:r>
      <w:r>
        <w:rPr>
          <w:rFonts w:hint="eastAsia" w:ascii="仿宋_GB2312" w:hAnsi="宋体" w:eastAsia="仿宋_GB2312" w:cs="Arial"/>
          <w:kern w:val="0"/>
          <w:sz w:val="32"/>
          <w:szCs w:val="32"/>
        </w:rPr>
        <w:t>安全生产监督管理职责的部门，按照各自的职责负责本行业、本领域内应急预案的管理工作。</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第五条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生产经营单位主要负责人负责组织编制和实施本单位的应急预案，并对应急预案的真实性和实用性负责；各分管负责人应当按照职责分工落实应急预案规定的职责。</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jc w:val="center"/>
        <w:rPr>
          <w:rFonts w:ascii="黑体" w:hAnsi="黑体" w:eastAsia="黑体" w:cs="Arial"/>
          <w:b/>
          <w:bCs/>
          <w:kern w:val="0"/>
          <w:sz w:val="32"/>
          <w:szCs w:val="32"/>
        </w:rPr>
      </w:pPr>
      <w:r>
        <w:rPr>
          <w:rFonts w:hint="eastAsia" w:ascii="黑体" w:hAnsi="黑体" w:eastAsia="黑体" w:cs="Arial"/>
          <w:b/>
          <w:bCs/>
          <w:kern w:val="0"/>
          <w:sz w:val="32"/>
          <w:szCs w:val="32"/>
        </w:rPr>
        <w:t>第二章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应急预案的编制</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第六条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应急预案的编制应当遵循以人为本、依法依规、符合实际、注重实效的原则，以应急处置为核心，明确应急职责、规范应急程序、细化保障措施。</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第七条</w:t>
      </w:r>
      <w:r>
        <w:rPr>
          <w:rFonts w:ascii="仿宋_GB2312" w:hAnsi="宋体" w:eastAsia="仿宋_GB2312" w:cs="Arial"/>
          <w:b/>
          <w:bCs/>
          <w:kern w:val="0"/>
          <w:sz w:val="32"/>
          <w:szCs w:val="32"/>
        </w:rPr>
        <w:t xml:space="preserve"> </w:t>
      </w:r>
      <w:r>
        <w:rPr>
          <w:rFonts w:hint="eastAsia" w:ascii="仿宋_GB2312" w:hAnsi="宋体" w:eastAsia="仿宋_GB2312" w:cs="Arial"/>
          <w:kern w:val="0"/>
          <w:sz w:val="32"/>
          <w:szCs w:val="32"/>
        </w:rPr>
        <w:t>应急预案的编制应当符合下列基本要求：</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（一）有关法律、法规、规章和标准的规定；</w:t>
      </w:r>
    </w:p>
    <w:p>
      <w:pPr>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（二）本地区、本部门、本单位的安全生产实际和危险性分析情况；</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（三）应急组织和人员的职责分工明确，并有具体的落实措施；</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（四）有明确、具体的应急程序和处置措施，并与其应急能力相适应；</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（五）有明确的应急保障措施，满足本地区、本部门、本单位的应急工作需要；</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（六）应急预案基本要素齐全、完整，应急预案附件提供的信息准确；</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（七）应急预案内容与相关应急预案相互衔接。</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宋体"/>
          <w:b/>
          <w:bCs/>
          <w:color w:val="auto"/>
          <w:kern w:val="0"/>
          <w:sz w:val="32"/>
          <w:szCs w:val="32"/>
        </w:rPr>
        <w:t>第八条</w:t>
      </w:r>
      <w:r>
        <w:rPr>
          <w:rFonts w:hint="eastAsia" w:ascii="仿宋_GB2312" w:hAnsi="宋体" w:eastAsia="仿宋_GB2312" w:cs="宋体"/>
          <w:kern w:val="0"/>
          <w:sz w:val="32"/>
          <w:szCs w:val="32"/>
        </w:rPr>
        <w:t xml:space="preserve"> 编制应</w:t>
      </w:r>
      <w:r>
        <w:rPr>
          <w:rFonts w:hint="eastAsia" w:ascii="仿宋_GB2312" w:hAnsi="宋体" w:eastAsia="仿宋_GB2312" w:cs="Arial"/>
          <w:kern w:val="0"/>
          <w:sz w:val="32"/>
          <w:szCs w:val="32"/>
        </w:rPr>
        <w:t>急预案应当成立编制工作小组，由本单位有关负责人任组长，吸收与应急预案有关的职能部门和单位的人员，以及有现场处置经验的人员参加。</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第九条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编制应急预案前，编制单位应当进行事故风险评估和应急资源调查。</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事故风险评估，是指针对不同事故种类及特点，识别存在的危</w:t>
      </w:r>
      <w:r>
        <w:rPr>
          <w:rFonts w:hint="eastAsia" w:ascii="仿宋_GB2312" w:hAnsi="宋体" w:eastAsia="仿宋_GB2312" w:cs="宋体"/>
          <w:kern w:val="0"/>
          <w:sz w:val="32"/>
          <w:szCs w:val="32"/>
        </w:rPr>
        <w:t>险</w:t>
      </w:r>
      <w:r>
        <w:rPr>
          <w:rFonts w:hint="eastAsia" w:ascii="仿宋_GB2312" w:hAnsi="宋体" w:eastAsia="仿宋_GB2312" w:cs="宋体"/>
          <w:b w:val="0"/>
          <w:bCs w:val="0"/>
          <w:color w:val="auto"/>
          <w:kern w:val="0"/>
          <w:sz w:val="32"/>
          <w:szCs w:val="32"/>
        </w:rPr>
        <w:t>有</w:t>
      </w:r>
      <w:r>
        <w:rPr>
          <w:rFonts w:hint="eastAsia" w:ascii="仿宋_GB2312" w:hAnsi="宋体" w:eastAsia="仿宋_GB2312" w:cs="宋体"/>
          <w:kern w:val="0"/>
          <w:sz w:val="32"/>
          <w:szCs w:val="32"/>
        </w:rPr>
        <w:t>害因素</w:t>
      </w:r>
      <w:r>
        <w:rPr>
          <w:rFonts w:hint="eastAsia" w:ascii="仿宋_GB2312" w:hAnsi="宋体" w:eastAsia="仿宋_GB2312" w:cs="Arial"/>
          <w:kern w:val="0"/>
          <w:sz w:val="32"/>
          <w:szCs w:val="32"/>
        </w:rPr>
        <w:t>，分析事故可能产生的直接后果以及次生、衍生后果，评估各种后果的危害程度和影响范围，提出防范和控制事故风险措施的过程。</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应急资源调查，是指全面调查本地区、本单位第一时间可以调用的应急资源状况和合作区域内可以请求援助的应急资源状况，并结合事故风险评估结论制定应急措施的过程。</w:t>
      </w:r>
    </w:p>
    <w:p>
      <w:pPr>
        <w:spacing w:line="560" w:lineRule="exact"/>
        <w:ind w:firstLine="640" w:firstLineChars="200"/>
        <w:rPr>
          <w:rFonts w:ascii="仿宋_GB2312" w:hAnsi="宋体" w:eastAsia="仿宋_GB2312" w:cs="Arial"/>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Arial"/>
          <w:b/>
          <w:bCs/>
          <w:kern w:val="0"/>
          <w:sz w:val="32"/>
          <w:szCs w:val="32"/>
        </w:rPr>
        <w:t>第十条</w:t>
      </w:r>
      <w:r>
        <w:rPr>
          <w:rFonts w:ascii="仿宋_GB2312" w:hAnsi="宋体" w:eastAsia="仿宋_GB2312" w:cs="Arial"/>
          <w:kern w:val="0"/>
          <w:sz w:val="32"/>
          <w:szCs w:val="32"/>
        </w:rPr>
        <w:t xml:space="preserve"> </w:t>
      </w:r>
      <w:r>
        <w:rPr>
          <w:rFonts w:hint="eastAsia" w:ascii="仿宋_GB2312" w:hAnsi="宋体" w:eastAsia="仿宋_GB2312" w:cs="宋体"/>
          <w:b w:val="0"/>
          <w:bCs w:val="0"/>
          <w:kern w:val="0"/>
          <w:sz w:val="32"/>
          <w:szCs w:val="32"/>
        </w:rPr>
        <w:t>县级以上</w:t>
      </w:r>
      <w:r>
        <w:rPr>
          <w:rFonts w:hint="eastAsia" w:ascii="仿宋_GB2312" w:hAnsi="宋体" w:eastAsia="仿宋_GB2312" w:cs="宋体"/>
          <w:kern w:val="0"/>
          <w:sz w:val="32"/>
          <w:szCs w:val="32"/>
        </w:rPr>
        <w:t>安全生产监督管理部门</w:t>
      </w:r>
      <w:r>
        <w:rPr>
          <w:rFonts w:hint="eastAsia" w:ascii="仿宋_GB2312" w:hAnsi="宋体" w:eastAsia="仿宋_GB2312" w:cs="宋体"/>
          <w:b w:val="0"/>
          <w:bCs w:val="0"/>
          <w:kern w:val="0"/>
          <w:sz w:val="32"/>
          <w:szCs w:val="32"/>
        </w:rPr>
        <w:t>和其他负有安全生产监督管理职责的部门</w:t>
      </w:r>
      <w:r>
        <w:rPr>
          <w:rFonts w:hint="eastAsia" w:ascii="仿宋_GB2312" w:hAnsi="宋体" w:eastAsia="仿宋_GB2312" w:cs="宋体"/>
          <w:kern w:val="0"/>
          <w:sz w:val="32"/>
          <w:szCs w:val="32"/>
        </w:rPr>
        <w:t>，应当根据法律、法规、规章和同级人民政府以及</w:t>
      </w:r>
      <w:r>
        <w:rPr>
          <w:rFonts w:hint="eastAsia" w:ascii="仿宋_GB2312" w:hAnsi="宋体" w:eastAsia="仿宋_GB2312" w:cs="宋体"/>
          <w:b w:val="0"/>
          <w:bCs w:val="0"/>
          <w:kern w:val="0"/>
          <w:sz w:val="32"/>
          <w:szCs w:val="32"/>
        </w:rPr>
        <w:t>上一级部门</w:t>
      </w:r>
      <w:r>
        <w:rPr>
          <w:rFonts w:hint="eastAsia" w:ascii="仿宋_GB2312" w:hAnsi="宋体" w:eastAsia="仿宋_GB2312" w:cs="宋体"/>
          <w:kern w:val="0"/>
          <w:sz w:val="32"/>
          <w:szCs w:val="32"/>
        </w:rPr>
        <w:t>的应急预案，结合工作实际</w:t>
      </w:r>
      <w:r>
        <w:rPr>
          <w:rFonts w:hint="eastAsia" w:ascii="仿宋_GB2312" w:hAnsi="宋体" w:eastAsia="仿宋_GB2312" w:cs="宋体"/>
          <w:b w:val="0"/>
          <w:bCs w:val="0"/>
          <w:kern w:val="0"/>
          <w:sz w:val="32"/>
          <w:szCs w:val="32"/>
        </w:rPr>
        <w:t>和面对的主要风险，</w:t>
      </w:r>
      <w:r>
        <w:rPr>
          <w:rFonts w:hint="eastAsia" w:ascii="仿宋_GB2312" w:hAnsi="宋体" w:eastAsia="仿宋_GB2312" w:cs="宋体"/>
          <w:kern w:val="0"/>
          <w:sz w:val="32"/>
          <w:szCs w:val="32"/>
        </w:rPr>
        <w:t>组织编制相应的部门应急预案。</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部门应急预案应当根据本地区、本部门的实际情况，明</w:t>
      </w:r>
      <w:r>
        <w:rPr>
          <w:rFonts w:hint="eastAsia" w:ascii="仿宋_GB2312" w:hAnsi="宋体" w:eastAsia="仿宋_GB2312" w:cs="宋体"/>
          <w:kern w:val="0"/>
          <w:sz w:val="32"/>
          <w:szCs w:val="32"/>
        </w:rPr>
        <w:t>确</w:t>
      </w:r>
      <w:r>
        <w:rPr>
          <w:rFonts w:hint="eastAsia" w:ascii="仿宋_GB2312" w:hAnsi="宋体" w:eastAsia="仿宋_GB2312" w:cs="宋体"/>
          <w:b w:val="0"/>
          <w:bCs w:val="0"/>
          <w:color w:val="auto"/>
          <w:kern w:val="0"/>
          <w:sz w:val="32"/>
          <w:szCs w:val="32"/>
        </w:rPr>
        <w:t>预警和</w:t>
      </w:r>
      <w:r>
        <w:rPr>
          <w:rFonts w:hint="eastAsia" w:ascii="仿宋_GB2312" w:hAnsi="宋体" w:eastAsia="仿宋_GB2312" w:cs="宋体"/>
          <w:kern w:val="0"/>
          <w:sz w:val="32"/>
          <w:szCs w:val="32"/>
        </w:rPr>
        <w:t>信息报告、响应分级、指挥权移交、警戒疏散、</w:t>
      </w:r>
      <w:r>
        <w:rPr>
          <w:rFonts w:hint="eastAsia" w:ascii="仿宋_GB2312" w:hAnsi="宋体" w:eastAsia="仿宋_GB2312" w:cs="宋体"/>
          <w:b w:val="0"/>
          <w:bCs w:val="0"/>
          <w:color w:val="auto"/>
          <w:kern w:val="0"/>
          <w:sz w:val="32"/>
          <w:szCs w:val="32"/>
        </w:rPr>
        <w:t>应急处置程序和措施</w:t>
      </w:r>
      <w:r>
        <w:rPr>
          <w:rFonts w:hint="eastAsia" w:ascii="仿宋_GB2312" w:hAnsi="宋体" w:eastAsia="仿宋_GB2312" w:cs="宋体"/>
          <w:kern w:val="0"/>
          <w:sz w:val="32"/>
          <w:szCs w:val="32"/>
        </w:rPr>
        <w:t>等内容</w:t>
      </w:r>
      <w:r>
        <w:rPr>
          <w:rFonts w:hint="eastAsia" w:ascii="仿宋_GB2312" w:hAnsi="宋体" w:eastAsia="仿宋_GB2312"/>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第十一条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w:t>
      </w:r>
      <w:r>
        <w:rPr>
          <w:rFonts w:hint="eastAsia" w:ascii="仿宋_GB2312" w:hAnsi="宋体" w:eastAsia="仿宋_GB2312" w:cs="宋体"/>
          <w:kern w:val="0"/>
          <w:sz w:val="32"/>
          <w:szCs w:val="32"/>
        </w:rPr>
        <w:t>经营单位应当根据有关</w:t>
      </w:r>
      <w:r>
        <w:rPr>
          <w:rFonts w:hint="eastAsia" w:ascii="仿宋_GB2312" w:hAnsi="宋体" w:eastAsia="仿宋_GB2312" w:cs="宋体"/>
          <w:b w:val="0"/>
          <w:bCs w:val="0"/>
          <w:color w:val="auto"/>
          <w:kern w:val="0"/>
          <w:sz w:val="32"/>
          <w:szCs w:val="32"/>
        </w:rPr>
        <w:t>法律法规</w:t>
      </w:r>
      <w:r>
        <w:rPr>
          <w:rFonts w:hint="eastAsia" w:ascii="仿宋_GB2312" w:hAnsi="宋体" w:eastAsia="仿宋_GB2312" w:cs="宋体"/>
          <w:kern w:val="0"/>
          <w:sz w:val="32"/>
          <w:szCs w:val="32"/>
        </w:rPr>
        <w:t>、规章和相关标准</w:t>
      </w:r>
      <w:r>
        <w:rPr>
          <w:rFonts w:hint="eastAsia" w:ascii="仿宋_GB2312" w:hAnsi="宋体" w:eastAsia="仿宋_GB2312" w:cs="宋体"/>
          <w:b w:val="0"/>
          <w:bCs w:val="0"/>
          <w:kern w:val="0"/>
          <w:sz w:val="32"/>
          <w:szCs w:val="32"/>
        </w:rPr>
        <w:t>及《生产经营单位生产安全事故应急预案编制导则》（GB/T 29639）的要求</w:t>
      </w:r>
      <w:r>
        <w:rPr>
          <w:rFonts w:hint="eastAsia" w:ascii="仿宋_GB2312" w:hAnsi="宋体" w:eastAsia="仿宋_GB2312" w:cs="宋体"/>
          <w:kern w:val="0"/>
          <w:sz w:val="32"/>
          <w:szCs w:val="32"/>
        </w:rPr>
        <w:t>，结合本单位的组织管理体系、生产规模和可能发生的事故特点</w:t>
      </w:r>
      <w:r>
        <w:rPr>
          <w:rFonts w:hint="eastAsia" w:ascii="仿宋_GB2312" w:hAnsi="宋体" w:eastAsia="仿宋_GB2312" w:cs="宋体"/>
          <w:b w:val="0"/>
          <w:bCs w:val="0"/>
          <w:kern w:val="0"/>
          <w:sz w:val="32"/>
          <w:szCs w:val="32"/>
        </w:rPr>
        <w:t>以及本单位开展的事故风险评估、应急资源调查情况，</w:t>
      </w:r>
      <w:r>
        <w:rPr>
          <w:rFonts w:hint="eastAsia" w:ascii="仿宋_GB2312" w:hAnsi="宋体" w:eastAsia="仿宋_GB2312" w:cs="宋体"/>
          <w:kern w:val="0"/>
          <w:sz w:val="32"/>
          <w:szCs w:val="32"/>
        </w:rPr>
        <w:t>确立本单位的应急预案体系，编制相应的应急预案，并体现自救互救和先期处置等特点。</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第十二条</w:t>
      </w:r>
      <w:r>
        <w:rPr>
          <w:rFonts w:ascii="仿宋_GB2312" w:hAnsi="宋体" w:eastAsia="仿宋_GB2312" w:cs="Arial"/>
          <w:kern w:val="0"/>
          <w:sz w:val="32"/>
          <w:szCs w:val="32"/>
        </w:rPr>
        <w:t xml:space="preserve"> </w:t>
      </w:r>
      <w:r>
        <w:rPr>
          <w:rFonts w:hint="eastAsia" w:ascii="仿宋_GB2312" w:hAnsi="宋体" w:eastAsia="仿宋_GB2312" w:cs="宋体"/>
          <w:b w:val="0"/>
          <w:bCs w:val="0"/>
          <w:kern w:val="0"/>
          <w:sz w:val="32"/>
          <w:szCs w:val="32"/>
        </w:rPr>
        <w:t>生产经营单位的应急预案按照事故风险情况的不同，一般分为综合应急预案、专项应急预案和现场处置方案。</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宋体"/>
          <w:kern w:val="0"/>
          <w:sz w:val="32"/>
          <w:szCs w:val="32"/>
        </w:rPr>
        <w:t>生产经营单位风险种类多、可能发生多种类型事故、</w:t>
      </w:r>
      <w:r>
        <w:rPr>
          <w:rFonts w:hint="eastAsia" w:ascii="仿宋_GB2312" w:hAnsi="宋体" w:eastAsia="仿宋_GB2312" w:cs="宋体"/>
          <w:b w:val="0"/>
          <w:bCs w:val="0"/>
          <w:kern w:val="0"/>
          <w:sz w:val="32"/>
          <w:szCs w:val="32"/>
        </w:rPr>
        <w:t>含有多</w:t>
      </w:r>
      <w:r>
        <w:rPr>
          <w:rFonts w:hint="eastAsia" w:ascii="仿宋_GB2312" w:hAnsi="宋体" w:eastAsia="仿宋_GB2312" w:cs="宋体"/>
          <w:b w:val="0"/>
          <w:bCs w:val="0"/>
          <w:color w:val="auto"/>
          <w:kern w:val="0"/>
          <w:sz w:val="32"/>
          <w:szCs w:val="32"/>
        </w:rPr>
        <w:t>层</w:t>
      </w:r>
      <w:r>
        <w:rPr>
          <w:rFonts w:hint="eastAsia" w:ascii="仿宋_GB2312" w:hAnsi="宋体" w:eastAsia="仿宋_GB2312" w:cs="宋体"/>
          <w:b w:val="0"/>
          <w:bCs w:val="0"/>
          <w:kern w:val="0"/>
          <w:sz w:val="32"/>
          <w:szCs w:val="32"/>
        </w:rPr>
        <w:t>级组织机构</w:t>
      </w:r>
      <w:r>
        <w:rPr>
          <w:rFonts w:hint="eastAsia" w:ascii="仿宋_GB2312" w:hAnsi="宋体" w:eastAsia="仿宋_GB2312" w:cs="宋体"/>
          <w:kern w:val="0"/>
          <w:sz w:val="32"/>
          <w:szCs w:val="32"/>
        </w:rPr>
        <w:t>的，应当组织编制</w:t>
      </w:r>
      <w:r>
        <w:rPr>
          <w:rFonts w:hint="eastAsia" w:ascii="仿宋_GB2312" w:hAnsi="宋体" w:eastAsia="仿宋_GB2312" w:cs="Arial"/>
          <w:kern w:val="0"/>
          <w:sz w:val="32"/>
          <w:szCs w:val="32"/>
        </w:rPr>
        <w:t>综合应急预案。</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kern w:val="0"/>
          <w:sz w:val="32"/>
          <w:szCs w:val="32"/>
        </w:rPr>
        <w:t>对于某一种或者多种类型的事故风险，生产经营单位可以编制相应的专项应急预案，或将专项应急预案并入综合应急预案。专项应急预案应当规定应急指挥机构与职责、处置程序和措施以</w:t>
      </w:r>
      <w:r>
        <w:rPr>
          <w:rFonts w:hint="eastAsia" w:ascii="仿宋_GB2312" w:hAnsi="宋体" w:eastAsia="仿宋_GB2312" w:cs="宋体"/>
          <w:kern w:val="0"/>
          <w:sz w:val="32"/>
          <w:szCs w:val="32"/>
        </w:rPr>
        <w:t>及</w:t>
      </w:r>
      <w:r>
        <w:rPr>
          <w:rFonts w:hint="eastAsia" w:ascii="仿宋_GB2312" w:hAnsi="宋体" w:eastAsia="仿宋_GB2312" w:cs="宋体"/>
          <w:b w:val="0"/>
          <w:bCs w:val="0"/>
          <w:color w:val="auto"/>
          <w:kern w:val="0"/>
          <w:sz w:val="32"/>
          <w:szCs w:val="32"/>
        </w:rPr>
        <w:t>与现场处置方案衔接</w:t>
      </w:r>
      <w:r>
        <w:rPr>
          <w:rFonts w:hint="eastAsia" w:ascii="仿宋_GB2312" w:hAnsi="宋体" w:eastAsia="仿宋_GB2312" w:cs="宋体"/>
          <w:kern w:val="0"/>
          <w:sz w:val="32"/>
          <w:szCs w:val="32"/>
        </w:rPr>
        <w:t>等内容。</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对于危险性较大的场所、装置或者设施，生产经营单位应当编制现场处置方案。现场处置方案应当规定应急工作职责、应急处置措施和注意事项等内容。</w:t>
      </w:r>
    </w:p>
    <w:p>
      <w:pPr>
        <w:spacing w:line="560" w:lineRule="exact"/>
        <w:ind w:firstLine="643" w:firstLineChars="200"/>
        <w:rPr>
          <w:rFonts w:ascii="黑体" w:hAnsi="黑体" w:eastAsia="黑体" w:cs="Arial"/>
          <w:b/>
          <w:bCs/>
          <w:kern w:val="0"/>
          <w:sz w:val="32"/>
          <w:szCs w:val="32"/>
          <w:u w:val="single"/>
        </w:rPr>
      </w:pPr>
      <w:r>
        <w:rPr>
          <w:rFonts w:hint="eastAsia" w:ascii="仿宋_GB2312" w:hAnsi="宋体" w:eastAsia="仿宋_GB2312" w:cs="宋体"/>
          <w:kern w:val="0"/>
          <w:sz w:val="32"/>
          <w:szCs w:val="32"/>
        </w:rPr>
        <w:t>事故风险单一、危险性小的生产经营单位，可以只编制现场处置方案,</w:t>
      </w:r>
      <w:r>
        <w:rPr>
          <w:rFonts w:hint="eastAsia" w:ascii="仿宋_GB2312" w:hAnsi="宋体" w:eastAsia="仿宋_GB2312" w:cs="宋体"/>
          <w:b w:val="0"/>
          <w:bCs w:val="0"/>
          <w:color w:val="auto"/>
          <w:kern w:val="0"/>
          <w:sz w:val="32"/>
          <w:szCs w:val="32"/>
        </w:rPr>
        <w:t>但应明确应急救援责任人、应急处置措施以及向外报警和求援的方式、内容（矿山、金属冶炼、建筑施工和易燃易爆物品、危险化学品生产、经营（带储存设施的，下同）、储存，以及使用危险化学品达到国家规定数量的、烟花爆竹生产、批发经营等行业领域的除外）。</w:t>
      </w:r>
      <w:r>
        <w:rPr>
          <w:rFonts w:ascii="黑体" w:hAnsi="黑体" w:eastAsia="黑体" w:cs="Arial"/>
          <w:b/>
          <w:bCs/>
          <w:color w:val="FF0000"/>
          <w:kern w:val="0"/>
          <w:sz w:val="32"/>
          <w:szCs w:val="32"/>
        </w:rPr>
        <w:t xml:space="preserve"> </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Arial"/>
          <w:b/>
          <w:bCs/>
          <w:kern w:val="0"/>
          <w:sz w:val="32"/>
          <w:szCs w:val="32"/>
        </w:rPr>
        <w:t>第十三条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w:t>
      </w:r>
      <w:r>
        <w:rPr>
          <w:rFonts w:hint="eastAsia" w:ascii="仿宋_GB2312" w:hAnsi="宋体" w:eastAsia="仿宋_GB2312" w:cs="宋体"/>
          <w:kern w:val="0"/>
          <w:sz w:val="32"/>
          <w:szCs w:val="32"/>
        </w:rPr>
        <w:t>单位应急预案应当包括向上级应急管理机构</w:t>
      </w:r>
      <w:r>
        <w:rPr>
          <w:rFonts w:hint="eastAsia" w:ascii="仿宋_GB2312" w:hAnsi="宋体" w:eastAsia="仿宋_GB2312" w:cs="宋体"/>
          <w:b w:val="0"/>
          <w:bCs w:val="0"/>
          <w:color w:val="auto"/>
          <w:kern w:val="0"/>
          <w:sz w:val="32"/>
          <w:szCs w:val="32"/>
        </w:rPr>
        <w:t>报告的内容（包括事故风险分析、重点部位明细、事故信息快报等）</w:t>
      </w:r>
      <w:r>
        <w:rPr>
          <w:rFonts w:hint="eastAsia" w:ascii="仿宋_GB2312" w:hAnsi="宋体" w:eastAsia="仿宋_GB2312" w:cs="宋体"/>
          <w:kern w:val="0"/>
          <w:sz w:val="32"/>
          <w:szCs w:val="32"/>
        </w:rPr>
        <w:t>、应急组织机构和人员的联系方式、应急物资储备清单等附件信息。附件信息发生变化时，应当及时更新，确保准确有效。</w:t>
      </w:r>
      <w:r>
        <w:rPr>
          <w:rFonts w:hint="eastAsia" w:ascii="仿宋_GB2312" w:hAnsi="宋体" w:eastAsia="仿宋_GB2312" w:cs="宋体"/>
          <w:b w:val="0"/>
          <w:bCs w:val="0"/>
          <w:kern w:val="0"/>
          <w:sz w:val="32"/>
          <w:szCs w:val="32"/>
        </w:rPr>
        <w:t>实现图表化、简明化。</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第十四条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w:t>
      </w:r>
      <w:r>
        <w:rPr>
          <w:rFonts w:hint="eastAsia" w:ascii="仿宋_GB2312" w:hAnsi="宋体" w:eastAsia="仿宋_GB2312" w:cs="宋体"/>
          <w:kern w:val="0"/>
          <w:sz w:val="32"/>
          <w:szCs w:val="32"/>
        </w:rPr>
        <w:t>经营单位组织应急预案编制过程中，应当根据</w:t>
      </w:r>
      <w:r>
        <w:rPr>
          <w:rFonts w:hint="eastAsia" w:ascii="仿宋_GB2312" w:hAnsi="宋体" w:eastAsia="仿宋_GB2312" w:cs="宋体"/>
          <w:color w:val="auto"/>
          <w:kern w:val="0"/>
          <w:sz w:val="32"/>
          <w:szCs w:val="32"/>
        </w:rPr>
        <w:t>法律法规</w:t>
      </w:r>
      <w:r>
        <w:rPr>
          <w:rFonts w:hint="eastAsia" w:ascii="仿宋_GB2312" w:hAnsi="宋体" w:eastAsia="仿宋_GB2312" w:cs="宋体"/>
          <w:kern w:val="0"/>
          <w:sz w:val="32"/>
          <w:szCs w:val="32"/>
        </w:rPr>
        <w:t>、规章的规定或者</w:t>
      </w:r>
      <w:r>
        <w:rPr>
          <w:rFonts w:hint="eastAsia" w:ascii="仿宋_GB2312" w:hAnsi="宋体" w:eastAsia="仿宋_GB2312" w:cs="宋体"/>
          <w:color w:val="auto"/>
          <w:kern w:val="0"/>
          <w:sz w:val="32"/>
          <w:szCs w:val="32"/>
        </w:rPr>
        <w:t>实际影响</w:t>
      </w:r>
      <w:r>
        <w:rPr>
          <w:rFonts w:hint="eastAsia" w:ascii="仿宋_GB2312" w:hAnsi="宋体" w:eastAsia="仿宋_GB2312" w:cs="宋体"/>
          <w:kern w:val="0"/>
          <w:sz w:val="32"/>
          <w:szCs w:val="32"/>
        </w:rPr>
        <w:t>，征求相关应急救援队伍、公民、法人、其他组织和</w:t>
      </w:r>
      <w:r>
        <w:rPr>
          <w:rFonts w:hint="eastAsia" w:ascii="仿宋_GB2312" w:hAnsi="宋体" w:eastAsia="仿宋_GB2312" w:cs="宋体"/>
          <w:b w:val="0"/>
          <w:bCs w:val="0"/>
          <w:kern w:val="0"/>
          <w:sz w:val="32"/>
          <w:szCs w:val="32"/>
        </w:rPr>
        <w:t>可能受事故影响的单位</w:t>
      </w:r>
      <w:r>
        <w:rPr>
          <w:rFonts w:hint="eastAsia" w:ascii="仿宋_GB2312" w:hAnsi="宋体" w:eastAsia="仿宋_GB2312" w:cs="宋体"/>
          <w:kern w:val="0"/>
          <w:sz w:val="32"/>
          <w:szCs w:val="32"/>
        </w:rPr>
        <w:t>的意见。</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第十五条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生产经营单位编</w:t>
      </w:r>
      <w:r>
        <w:rPr>
          <w:rFonts w:hint="eastAsia" w:ascii="仿宋_GB2312" w:hAnsi="宋体" w:eastAsia="仿宋_GB2312" w:cs="宋体"/>
          <w:kern w:val="0"/>
          <w:sz w:val="32"/>
          <w:szCs w:val="32"/>
        </w:rPr>
        <w:t>制的</w:t>
      </w:r>
      <w:r>
        <w:rPr>
          <w:rFonts w:hint="eastAsia" w:ascii="仿宋_GB2312" w:hAnsi="宋体" w:eastAsia="仿宋_GB2312" w:cs="宋体"/>
          <w:b w:val="0"/>
          <w:bCs w:val="0"/>
          <w:kern w:val="0"/>
          <w:sz w:val="32"/>
          <w:szCs w:val="32"/>
        </w:rPr>
        <w:t>综合应急预案、专项应急预案和现场处置方案</w:t>
      </w:r>
      <w:r>
        <w:rPr>
          <w:rFonts w:hint="eastAsia" w:ascii="仿宋_GB2312" w:hAnsi="宋体" w:eastAsia="仿宋_GB2312" w:cs="宋体"/>
          <w:kern w:val="0"/>
          <w:sz w:val="32"/>
          <w:szCs w:val="32"/>
        </w:rPr>
        <w:t>之间应当相互衔接，并与相关人民政府及其部门、应急救援队伍和涉及的其他单位的应急预案相衔接，</w:t>
      </w:r>
      <w:r>
        <w:rPr>
          <w:rFonts w:hint="eastAsia" w:ascii="仿宋_GB2312" w:hAnsi="宋体" w:eastAsia="仿宋_GB2312" w:cs="宋体"/>
          <w:b w:val="0"/>
          <w:bCs w:val="0"/>
          <w:kern w:val="0"/>
          <w:sz w:val="32"/>
          <w:szCs w:val="32"/>
        </w:rPr>
        <w:t>形成体系，适应应急救援工作需要。</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第十六条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生产经营单位应当在编制应急预案的基础上，针对工作场所、岗位的特点，编制简明、实用、有效的应急处置卡。</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应急处置卡应当规定重点岗位、人员的应急处置程序和措施，以及相关联络人员和联系方式，便于从业人员携带。</w:t>
      </w:r>
    </w:p>
    <w:p>
      <w:pPr>
        <w:spacing w:line="560" w:lineRule="exact"/>
        <w:ind w:firstLine="640" w:firstLineChars="200"/>
        <w:jc w:val="center"/>
        <w:rPr>
          <w:rFonts w:ascii="仿宋_GB2312" w:hAnsi="宋体" w:eastAsia="仿宋_GB2312" w:cs="Arial"/>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第三章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应急预案的评审与公布</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第十七条</w:t>
      </w:r>
      <w:r>
        <w:rPr>
          <w:rFonts w:ascii="仿宋_GB2312" w:hAnsi="宋体" w:eastAsia="仿宋_GB2312" w:cs="Arial"/>
          <w:kern w:val="0"/>
          <w:sz w:val="32"/>
          <w:szCs w:val="32"/>
        </w:rPr>
        <w:t xml:space="preserve"> </w:t>
      </w:r>
      <w:r>
        <w:rPr>
          <w:rFonts w:hint="eastAsia" w:ascii="仿宋_GB2312" w:hAnsi="宋体" w:eastAsia="仿宋_GB2312" w:cs="宋体"/>
          <w:b w:val="0"/>
          <w:bCs w:val="0"/>
          <w:kern w:val="0"/>
          <w:sz w:val="32"/>
          <w:szCs w:val="32"/>
        </w:rPr>
        <w:t>县级以上</w:t>
      </w:r>
      <w:r>
        <w:rPr>
          <w:rFonts w:hint="eastAsia" w:ascii="仿宋_GB2312" w:hAnsi="宋体" w:eastAsia="仿宋_GB2312" w:cs="宋体"/>
          <w:kern w:val="0"/>
          <w:sz w:val="32"/>
          <w:szCs w:val="32"/>
        </w:rPr>
        <w:t>安全生产监督管理部门</w:t>
      </w:r>
      <w:r>
        <w:rPr>
          <w:rFonts w:hint="eastAsia" w:ascii="仿宋_GB2312" w:hAnsi="宋体" w:eastAsia="仿宋_GB2312" w:cs="宋体"/>
          <w:b w:val="0"/>
          <w:bCs w:val="0"/>
          <w:kern w:val="0"/>
          <w:sz w:val="32"/>
          <w:szCs w:val="32"/>
        </w:rPr>
        <w:t>和其他负有安全生产监督管理职责的部门</w:t>
      </w:r>
      <w:r>
        <w:rPr>
          <w:rFonts w:hint="eastAsia" w:ascii="仿宋_GB2312" w:hAnsi="宋体" w:eastAsia="仿宋_GB2312" w:cs="宋体"/>
          <w:kern w:val="0"/>
          <w:sz w:val="32"/>
          <w:szCs w:val="32"/>
        </w:rPr>
        <w:t>，应当组织有关专家对本部门编制的部门应急预案进行</w:t>
      </w:r>
      <w:r>
        <w:rPr>
          <w:rFonts w:hint="eastAsia" w:ascii="仿宋_GB2312" w:hAnsi="宋体" w:eastAsia="仿宋_GB2312" w:cs="宋体"/>
          <w:color w:val="auto"/>
          <w:kern w:val="0"/>
          <w:sz w:val="32"/>
          <w:szCs w:val="32"/>
        </w:rPr>
        <w:t>评审</w:t>
      </w:r>
      <w:r>
        <w:rPr>
          <w:rFonts w:hint="eastAsia" w:ascii="仿宋_GB2312" w:hAnsi="宋体" w:eastAsia="仿宋_GB2312" w:cs="宋体"/>
          <w:kern w:val="0"/>
          <w:sz w:val="32"/>
          <w:szCs w:val="32"/>
        </w:rPr>
        <w:t>，</w:t>
      </w:r>
      <w:r>
        <w:rPr>
          <w:rFonts w:hint="eastAsia" w:ascii="仿宋_GB2312" w:hAnsi="宋体" w:eastAsia="仿宋_GB2312" w:cs="宋体"/>
          <w:b w:val="0"/>
          <w:bCs w:val="0"/>
          <w:kern w:val="0"/>
          <w:sz w:val="32"/>
          <w:szCs w:val="32"/>
        </w:rPr>
        <w:t>专家人数一般不少于5人</w:t>
      </w:r>
      <w:r>
        <w:rPr>
          <w:rFonts w:hint="eastAsia" w:ascii="仿宋_GB2312" w:hAnsi="宋体" w:eastAsia="仿宋_GB2312" w:cs="宋体"/>
          <w:kern w:val="0"/>
          <w:sz w:val="32"/>
          <w:szCs w:val="32"/>
        </w:rPr>
        <w:t>；</w:t>
      </w:r>
      <w:r>
        <w:rPr>
          <w:rFonts w:hint="eastAsia" w:ascii="仿宋_GB2312" w:hAnsi="宋体" w:eastAsia="仿宋_GB2312" w:cs="宋体"/>
          <w:b w:val="0"/>
          <w:bCs w:val="0"/>
          <w:color w:val="auto"/>
          <w:kern w:val="0"/>
          <w:sz w:val="32"/>
          <w:szCs w:val="32"/>
        </w:rPr>
        <w:t>涉及重大事故风险或者当地社会关注程度较高的，或者发生重特大安全事故需要修订应急预案的</w:t>
      </w:r>
      <w:r>
        <w:rPr>
          <w:rFonts w:hint="eastAsia" w:ascii="仿宋_GB2312" w:hAnsi="宋体" w:eastAsia="仿宋_GB2312" w:cs="宋体"/>
          <w:kern w:val="0"/>
          <w:sz w:val="32"/>
          <w:szCs w:val="32"/>
        </w:rPr>
        <w:t>，可以</w:t>
      </w:r>
      <w:r>
        <w:rPr>
          <w:rFonts w:hint="eastAsia" w:ascii="仿宋_GB2312" w:hAnsi="宋体" w:eastAsia="仿宋_GB2312" w:cs="Arial"/>
          <w:kern w:val="0"/>
          <w:sz w:val="32"/>
          <w:szCs w:val="32"/>
        </w:rPr>
        <w:t>召开听证会，听取社会有关方面的意</w:t>
      </w:r>
      <w:r>
        <w:rPr>
          <w:rFonts w:hint="eastAsia" w:ascii="仿宋_GB2312" w:hAnsi="宋体" w:eastAsia="仿宋_GB2312" w:cs="宋体"/>
          <w:kern w:val="0"/>
          <w:sz w:val="32"/>
          <w:szCs w:val="32"/>
        </w:rPr>
        <w:t>见。</w:t>
      </w:r>
      <w:r>
        <w:rPr>
          <w:rFonts w:hint="eastAsia" w:ascii="仿宋_GB2312" w:hAnsi="宋体" w:eastAsia="仿宋_GB2312" w:cs="宋体"/>
          <w:b w:val="0"/>
          <w:bCs w:val="0"/>
          <w:kern w:val="0"/>
          <w:sz w:val="32"/>
          <w:szCs w:val="32"/>
        </w:rPr>
        <w:t>涉及有关部门的，应当征求有关部门意见。</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cs="Arial"/>
          <w:b/>
          <w:bCs/>
          <w:kern w:val="0"/>
          <w:sz w:val="32"/>
          <w:szCs w:val="32"/>
        </w:rPr>
        <w:t>第十八条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矿山、金属冶炼、建筑施工企业和易燃易爆物品、危险化学品的生产、经营、储存企业，以及使用危险化学品达到国家规定数量的化工企业、烟花爆竹生产、批发经营企业和中型规模以上的其他生产经营单位，应当对本单位编制的应急预案进行评审，并形成书面评审纪要。</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kern w:val="0"/>
          <w:sz w:val="32"/>
          <w:szCs w:val="32"/>
        </w:rPr>
        <w:t>前款规定以外的其他生产经营单位应当对本单位编制的应急预案进行</w:t>
      </w:r>
      <w:r>
        <w:rPr>
          <w:rFonts w:hint="eastAsia" w:ascii="仿宋_GB2312" w:hAnsi="宋体" w:eastAsia="仿宋_GB2312" w:cs="宋体"/>
          <w:kern w:val="0"/>
          <w:sz w:val="32"/>
          <w:szCs w:val="32"/>
        </w:rPr>
        <w:t>论证，</w:t>
      </w:r>
      <w:r>
        <w:rPr>
          <w:rFonts w:hint="eastAsia" w:ascii="仿宋_GB2312" w:hAnsi="宋体" w:eastAsia="仿宋_GB2312" w:cs="宋体"/>
          <w:b w:val="0"/>
          <w:bCs w:val="0"/>
          <w:kern w:val="0"/>
          <w:sz w:val="32"/>
          <w:szCs w:val="32"/>
        </w:rPr>
        <w:t>并出具书面论证意见</w:t>
      </w:r>
      <w:r>
        <w:rPr>
          <w:rFonts w:hint="eastAsia" w:ascii="仿宋_GB2312" w:hAnsi="宋体" w:eastAsia="仿宋_GB2312" w:cs="宋体"/>
          <w:kern w:val="0"/>
          <w:sz w:val="32"/>
          <w:szCs w:val="32"/>
        </w:rPr>
        <w:t>。</w:t>
      </w:r>
    </w:p>
    <w:p>
      <w:pPr>
        <w:spacing w:line="560" w:lineRule="exact"/>
        <w:ind w:firstLine="643" w:firstLineChars="200"/>
        <w:rPr>
          <w:rFonts w:hint="eastAsia" w:ascii="仿宋_GB2312" w:hAnsi="宋体" w:eastAsia="仿宋_GB2312" w:cs="宋体"/>
          <w:kern w:val="0"/>
          <w:sz w:val="32"/>
          <w:szCs w:val="32"/>
        </w:rPr>
      </w:pPr>
    </w:p>
    <w:p>
      <w:pPr>
        <w:spacing w:line="560" w:lineRule="exact"/>
        <w:ind w:firstLine="643" w:firstLineChars="200"/>
        <w:rPr>
          <w:rFonts w:ascii="仿宋_GB2312" w:hAnsi="宋体" w:eastAsia="仿宋_GB2312" w:cs="Arial"/>
          <w:b/>
          <w:bCs/>
          <w:kern w:val="0"/>
          <w:sz w:val="32"/>
          <w:szCs w:val="32"/>
        </w:rPr>
      </w:pPr>
      <w:r>
        <w:rPr>
          <w:rFonts w:hint="eastAsia" w:ascii="仿宋_GB2312" w:hAnsi="宋体" w:eastAsia="仿宋_GB2312" w:cs="Arial"/>
          <w:b/>
          <w:bCs/>
          <w:kern w:val="0"/>
          <w:sz w:val="32"/>
          <w:szCs w:val="32"/>
        </w:rPr>
        <w:t>第十九条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参加应急预案评审的人员应当包括有关安全生产及应急管理方面的专</w:t>
      </w:r>
      <w:r>
        <w:rPr>
          <w:rFonts w:hint="eastAsia" w:ascii="仿宋_GB2312" w:hAnsi="宋体" w:eastAsia="仿宋_GB2312" w:cs="宋体"/>
          <w:kern w:val="0"/>
          <w:sz w:val="32"/>
          <w:szCs w:val="32"/>
        </w:rPr>
        <w:t>家，</w:t>
      </w:r>
      <w:r>
        <w:rPr>
          <w:rFonts w:hint="eastAsia" w:ascii="仿宋_GB2312" w:hAnsi="宋体" w:eastAsia="仿宋_GB2312" w:cs="宋体"/>
          <w:color w:val="auto"/>
          <w:kern w:val="0"/>
          <w:sz w:val="32"/>
          <w:szCs w:val="32"/>
        </w:rPr>
        <w:t>参与评审</w:t>
      </w:r>
      <w:r>
        <w:rPr>
          <w:rFonts w:hint="eastAsia" w:ascii="仿宋_GB2312" w:hAnsi="宋体" w:eastAsia="仿宋_GB2312" w:cs="宋体"/>
          <w:b w:val="0"/>
          <w:bCs w:val="0"/>
          <w:color w:val="auto"/>
          <w:kern w:val="0"/>
          <w:sz w:val="32"/>
          <w:szCs w:val="32"/>
        </w:rPr>
        <w:t>的人员应为单数，且参与的</w:t>
      </w:r>
      <w:r>
        <w:rPr>
          <w:rFonts w:hint="eastAsia" w:ascii="仿宋_GB2312" w:hAnsi="宋体" w:eastAsia="仿宋_GB2312" w:cs="宋体"/>
          <w:color w:val="auto"/>
          <w:kern w:val="0"/>
          <w:sz w:val="32"/>
          <w:szCs w:val="32"/>
        </w:rPr>
        <w:t>专家人数</w:t>
      </w:r>
      <w:r>
        <w:rPr>
          <w:rFonts w:hint="eastAsia" w:ascii="仿宋_GB2312" w:hAnsi="宋体" w:eastAsia="仿宋_GB2312" w:cs="宋体"/>
          <w:b w:val="0"/>
          <w:bCs w:val="0"/>
          <w:color w:val="auto"/>
          <w:kern w:val="0"/>
          <w:sz w:val="32"/>
          <w:szCs w:val="32"/>
        </w:rPr>
        <w:t>应</w:t>
      </w:r>
      <w:r>
        <w:rPr>
          <w:rFonts w:hint="eastAsia" w:ascii="仿宋_GB2312" w:hAnsi="宋体" w:eastAsia="仿宋_GB2312" w:cs="宋体"/>
          <w:color w:val="auto"/>
          <w:kern w:val="0"/>
          <w:sz w:val="32"/>
          <w:szCs w:val="32"/>
        </w:rPr>
        <w:t>不少于3人</w:t>
      </w:r>
      <w:r>
        <w:rPr>
          <w:rFonts w:hint="eastAsia" w:ascii="仿宋_GB2312" w:hAnsi="宋体" w:eastAsia="仿宋_GB2312" w:cs="宋体"/>
          <w:b w:val="0"/>
          <w:bCs w:val="0"/>
          <w:color w:val="auto"/>
          <w:kern w:val="0"/>
          <w:sz w:val="32"/>
          <w:szCs w:val="32"/>
        </w:rPr>
        <w:t>，评审组的组长一般应由专家担任</w:t>
      </w:r>
      <w:r>
        <w:rPr>
          <w:rFonts w:hint="eastAsia" w:ascii="仿宋_GB2312" w:hAnsi="宋体" w:eastAsia="仿宋_GB2312" w:cs="宋体"/>
          <w:color w:val="auto"/>
          <w:kern w:val="0"/>
          <w:sz w:val="32"/>
          <w:szCs w:val="32"/>
        </w:rPr>
        <w:t>。</w:t>
      </w:r>
      <w:r>
        <w:rPr>
          <w:rFonts w:hint="eastAsia" w:ascii="仿宋_GB2312" w:hAnsi="宋体" w:eastAsia="仿宋_GB2312" w:cs="宋体"/>
          <w:b w:val="0"/>
          <w:bCs w:val="0"/>
          <w:kern w:val="0"/>
          <w:sz w:val="32"/>
          <w:szCs w:val="32"/>
        </w:rPr>
        <w:t>专家原则应从各级安全生产监督管理部门专家库</w:t>
      </w:r>
      <w:r>
        <w:rPr>
          <w:rFonts w:hint="eastAsia" w:ascii="仿宋_GB2312" w:hAnsi="宋体" w:eastAsia="仿宋_GB2312" w:cs="宋体"/>
          <w:b w:val="0"/>
          <w:bCs w:val="0"/>
          <w:color w:val="auto"/>
          <w:kern w:val="0"/>
          <w:sz w:val="32"/>
          <w:szCs w:val="32"/>
        </w:rPr>
        <w:t>以及省、市行业主管部门建立的安全生产专家库中</w:t>
      </w:r>
      <w:r>
        <w:rPr>
          <w:rFonts w:hint="eastAsia" w:ascii="仿宋_GB2312" w:hAnsi="宋体" w:eastAsia="仿宋_GB2312" w:cs="宋体"/>
          <w:b w:val="0"/>
          <w:bCs w:val="0"/>
          <w:kern w:val="0"/>
          <w:sz w:val="32"/>
          <w:szCs w:val="32"/>
        </w:rPr>
        <w:t>选取。评审应邀请相关行业领域和本单位、本系统内部相关技术、设备、工艺、消防、内保等方面的专业人员参与。</w:t>
      </w:r>
      <w:r>
        <w:rPr>
          <w:rFonts w:hint="eastAsia" w:ascii="仿宋_GB2312" w:hAnsi="宋体" w:eastAsia="仿宋_GB2312" w:cs="宋体"/>
          <w:kern w:val="0"/>
          <w:sz w:val="32"/>
          <w:szCs w:val="32"/>
        </w:rPr>
        <w:t>评审人员与所评审应急预案的生产经营单位有利害关系的，</w:t>
      </w:r>
      <w:r>
        <w:rPr>
          <w:rFonts w:hint="eastAsia" w:ascii="仿宋_GB2312" w:hAnsi="宋体" w:eastAsia="仿宋_GB2312" w:cs="Arial"/>
          <w:kern w:val="0"/>
          <w:sz w:val="32"/>
          <w:szCs w:val="32"/>
        </w:rPr>
        <w:t>应当回避。</w:t>
      </w:r>
    </w:p>
    <w:p>
      <w:pPr>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省、市、县安全生产</w:t>
      </w:r>
      <w:r>
        <w:rPr>
          <w:rFonts w:hint="eastAsia" w:ascii="仿宋_GB2312" w:hAnsi="宋体" w:eastAsia="仿宋_GB2312" w:cs="宋体"/>
          <w:b w:val="0"/>
          <w:bCs w:val="0"/>
          <w:color w:val="auto"/>
          <w:kern w:val="0"/>
          <w:sz w:val="32"/>
          <w:szCs w:val="32"/>
        </w:rPr>
        <w:t>监督管理部门</w:t>
      </w:r>
      <w:r>
        <w:rPr>
          <w:rFonts w:hint="eastAsia" w:ascii="仿宋_GB2312" w:hAnsi="宋体" w:eastAsia="仿宋_GB2312" w:cs="宋体"/>
          <w:color w:val="auto"/>
          <w:kern w:val="0"/>
          <w:sz w:val="32"/>
          <w:szCs w:val="32"/>
        </w:rPr>
        <w:t>应在安全生产专家库中明确配备应急管理和处置方面的专家。</w:t>
      </w:r>
    </w:p>
    <w:p>
      <w:pPr>
        <w:spacing w:line="560" w:lineRule="exact"/>
        <w:ind w:firstLine="643" w:firstLineChars="200"/>
        <w:rPr>
          <w:rFonts w:hint="eastAsia" w:ascii="仿宋_GB2312" w:hAnsi="宋体" w:eastAsia="仿宋_GB2312" w:cs="宋体"/>
          <w:kern w:val="0"/>
          <w:sz w:val="32"/>
          <w:szCs w:val="32"/>
        </w:rPr>
      </w:pPr>
    </w:p>
    <w:p>
      <w:pPr>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Arial"/>
          <w:b/>
          <w:bCs/>
          <w:kern w:val="0"/>
          <w:sz w:val="32"/>
          <w:szCs w:val="32"/>
        </w:rPr>
        <w:t xml:space="preserve">第二十条 </w:t>
      </w:r>
      <w:r>
        <w:rPr>
          <w:rFonts w:hint="eastAsia" w:ascii="仿宋_GB2312" w:hAnsi="宋体" w:eastAsia="仿宋_GB2312" w:cs="宋体"/>
          <w:b w:val="0"/>
          <w:bCs w:val="0"/>
          <w:kern w:val="0"/>
          <w:sz w:val="32"/>
          <w:szCs w:val="32"/>
        </w:rPr>
        <w:t>其他生产经营单位应急预案的论证可邀请有关安全生产及应急管理方面的专家参与。</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val="0"/>
          <w:bCs w:val="0"/>
          <w:kern w:val="0"/>
          <w:sz w:val="32"/>
          <w:szCs w:val="32"/>
        </w:rPr>
        <w:t>参加应急预案论证的人员应当熟悉相关行业领域安全生产或应急管理方面的法律法规及标准规定，熟悉所评审单位行业特点和主要风险，在相关行业领域从事安全生产或应急管理工作3年以上。</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第二十一条</w:t>
      </w:r>
      <w:r>
        <w:rPr>
          <w:rFonts w:ascii="宋体" w:hAnsi="宋体" w:eastAsia="仿宋_GB2312" w:cs="Arial"/>
          <w:kern w:val="0"/>
          <w:sz w:val="32"/>
          <w:szCs w:val="32"/>
        </w:rPr>
        <w:t xml:space="preserve"> </w:t>
      </w:r>
      <w:r>
        <w:rPr>
          <w:rFonts w:hint="eastAsia" w:ascii="仿宋_GB2312" w:hAnsi="宋体" w:eastAsia="仿宋_GB2312" w:cs="宋体"/>
          <w:b w:val="0"/>
          <w:bCs w:val="0"/>
          <w:kern w:val="0"/>
          <w:sz w:val="32"/>
          <w:szCs w:val="32"/>
        </w:rPr>
        <w:t>应急预案评审或论证是依据国家有关法律法规、规章，按照《生产经营单位生产安全事故应急预案编制导则》（GB/T 29639）等有关行业规范的要求，针对应急预案内容的合法性、适用性、操作性和衔接性等方面要求</w:t>
      </w:r>
      <w:r>
        <w:rPr>
          <w:rFonts w:hint="eastAsia" w:ascii="仿宋_GB2312" w:hAnsi="宋体" w:eastAsia="仿宋_GB2312" w:cs="宋体"/>
          <w:b w:val="0"/>
          <w:bCs w:val="0"/>
          <w:color w:val="auto"/>
          <w:kern w:val="0"/>
          <w:sz w:val="32"/>
          <w:szCs w:val="32"/>
        </w:rPr>
        <w:t>，以会议或演练的形式进行</w:t>
      </w:r>
      <w:r>
        <w:rPr>
          <w:rFonts w:hint="eastAsia" w:ascii="仿宋_GB2312" w:hAnsi="宋体" w:eastAsia="仿宋_GB2312" w:cs="宋体"/>
          <w:color w:val="auto"/>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Arial"/>
          <w:b/>
          <w:bCs/>
          <w:kern w:val="0"/>
          <w:sz w:val="32"/>
          <w:szCs w:val="32"/>
        </w:rPr>
        <w:t>第二十二条</w:t>
      </w:r>
      <w:r>
        <w:rPr>
          <w:rFonts w:ascii="宋体" w:hAnsi="宋体" w:eastAsia="仿宋_GB2312" w:cs="Arial"/>
          <w:kern w:val="0"/>
          <w:sz w:val="32"/>
          <w:szCs w:val="32"/>
        </w:rPr>
        <w:t xml:space="preserve"> </w:t>
      </w:r>
      <w:r>
        <w:rPr>
          <w:rFonts w:hint="eastAsia" w:ascii="仿宋_GB2312" w:hAnsi="宋体" w:eastAsia="仿宋_GB2312" w:cs="宋体"/>
          <w:b w:val="0"/>
          <w:bCs w:val="0"/>
          <w:kern w:val="0"/>
          <w:sz w:val="32"/>
          <w:szCs w:val="32"/>
        </w:rPr>
        <w:t>评审或论</w:t>
      </w:r>
      <w:bookmarkStart w:id="2" w:name="_GoBack"/>
      <w:bookmarkEnd w:id="2"/>
      <w:r>
        <w:rPr>
          <w:rFonts w:hint="eastAsia" w:ascii="仿宋_GB2312" w:hAnsi="宋体" w:eastAsia="仿宋_GB2312" w:cs="宋体"/>
          <w:b w:val="0"/>
          <w:bCs w:val="0"/>
          <w:kern w:val="0"/>
          <w:sz w:val="32"/>
          <w:szCs w:val="32"/>
        </w:rPr>
        <w:t>证意见应给出明确的结论</w:t>
      </w:r>
      <w:r>
        <w:rPr>
          <w:rFonts w:hint="eastAsia" w:ascii="仿宋_GB2312" w:hAnsi="宋体" w:eastAsia="仿宋_GB2312" w:cs="宋体"/>
          <w:b w:val="0"/>
          <w:bCs w:val="0"/>
          <w:kern w:val="0"/>
          <w:sz w:val="32"/>
          <w:szCs w:val="32"/>
          <w:lang w:eastAsia="zh-CN"/>
        </w:rPr>
        <w:t>，</w:t>
      </w:r>
      <w:r>
        <w:rPr>
          <w:rFonts w:hint="eastAsia" w:ascii="仿宋_GB2312" w:hAnsi="宋体" w:eastAsia="仿宋_GB2312" w:cs="宋体"/>
          <w:b w:val="0"/>
          <w:bCs w:val="0"/>
          <w:kern w:val="0"/>
          <w:sz w:val="32"/>
          <w:szCs w:val="32"/>
        </w:rPr>
        <w:t>分为</w:t>
      </w:r>
      <w:r>
        <w:rPr>
          <w:rFonts w:hint="eastAsia" w:ascii="仿宋_GB2312" w:hAnsi="宋体" w:eastAsia="仿宋_GB2312" w:cs="宋体"/>
          <w:b w:val="0"/>
          <w:bCs w:val="0"/>
          <w:kern w:val="0"/>
          <w:sz w:val="32"/>
          <w:szCs w:val="32"/>
          <w:highlight w:val="none"/>
        </w:rPr>
        <w:t>符合和不符合</w:t>
      </w:r>
      <w:r>
        <w:rPr>
          <w:rFonts w:hint="eastAsia" w:ascii="仿宋_GB2312" w:hAnsi="宋体" w:eastAsia="仿宋_GB2312" w:cs="宋体"/>
          <w:b w:val="0"/>
          <w:bCs w:val="0"/>
          <w:kern w:val="0"/>
          <w:sz w:val="32"/>
          <w:szCs w:val="32"/>
          <w:highlight w:val="none"/>
          <w:lang w:eastAsia="zh-CN"/>
        </w:rPr>
        <w:t>两种。</w:t>
      </w:r>
      <w:r>
        <w:rPr>
          <w:rFonts w:hint="eastAsia" w:ascii="仿宋_GB2312" w:hAnsi="宋体" w:eastAsia="仿宋_GB2312" w:cs="宋体"/>
          <w:b w:val="0"/>
          <w:bCs w:val="0"/>
          <w:kern w:val="0"/>
          <w:sz w:val="32"/>
          <w:szCs w:val="32"/>
        </w:rPr>
        <w:t>意见为不符合的，</w:t>
      </w:r>
      <w:r>
        <w:rPr>
          <w:rFonts w:hint="eastAsia" w:ascii="仿宋_GB2312" w:hAnsi="宋体" w:eastAsia="仿宋_GB2312" w:cs="宋体"/>
          <w:b w:val="0"/>
          <w:bCs w:val="0"/>
          <w:color w:val="auto"/>
          <w:kern w:val="0"/>
          <w:sz w:val="32"/>
          <w:szCs w:val="32"/>
        </w:rPr>
        <w:t>应明确</w:t>
      </w:r>
      <w:r>
        <w:rPr>
          <w:rFonts w:hint="eastAsia" w:ascii="仿宋_GB2312" w:hAnsi="宋体" w:eastAsia="仿宋_GB2312" w:cs="宋体"/>
          <w:b w:val="0"/>
          <w:bCs w:val="0"/>
          <w:kern w:val="0"/>
          <w:sz w:val="32"/>
          <w:szCs w:val="32"/>
        </w:rPr>
        <w:t>具体不符合理由，并提出改进意见或建议。生产经营单位应按要求修订后，重新组织评审或论证。</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黑体" w:eastAsia="仿宋_GB2312" w:cs="Arial"/>
          <w:b/>
          <w:bCs/>
          <w:kern w:val="0"/>
          <w:sz w:val="32"/>
          <w:szCs w:val="32"/>
        </w:rPr>
        <w:t>第二十三条</w:t>
      </w:r>
      <w:r>
        <w:rPr>
          <w:rFonts w:ascii="宋体" w:hAnsi="宋体" w:eastAsia="黑体" w:cs="Arial"/>
          <w:b/>
          <w:bCs/>
          <w:kern w:val="0"/>
          <w:sz w:val="32"/>
          <w:szCs w:val="32"/>
        </w:rPr>
        <w:t xml:space="preserve"> </w:t>
      </w:r>
      <w:r>
        <w:rPr>
          <w:rFonts w:hint="eastAsia" w:ascii="仿宋_GB2312" w:hAnsi="宋体" w:eastAsia="仿宋_GB2312" w:cs="宋体"/>
          <w:b w:val="0"/>
          <w:bCs w:val="0"/>
          <w:kern w:val="0"/>
          <w:sz w:val="32"/>
          <w:szCs w:val="32"/>
        </w:rPr>
        <w:t>评审纪要应当包括以下内容：</w:t>
      </w:r>
    </w:p>
    <w:p>
      <w:pPr>
        <w:spacing w:line="560" w:lineRule="exact"/>
        <w:ind w:firstLine="643" w:firstLineChars="200"/>
        <w:jc w:val="both"/>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（一）应急预案名称与类别；</w:t>
      </w:r>
    </w:p>
    <w:p>
      <w:pPr>
        <w:spacing w:line="560" w:lineRule="exact"/>
        <w:ind w:firstLine="643" w:firstLineChars="200"/>
        <w:jc w:val="both"/>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（二）评审依据、时间、地点、参加单位和人员；</w:t>
      </w:r>
    </w:p>
    <w:p>
      <w:pPr>
        <w:spacing w:line="560" w:lineRule="exact"/>
        <w:ind w:firstLine="643" w:firstLineChars="200"/>
        <w:jc w:val="both"/>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（三）评审方式、程序、内容和适用性分析；</w:t>
      </w: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（四）评审人员签到表；</w:t>
      </w: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（五）评审意见与结论（签名）。</w:t>
      </w: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评审人员签到表、专家组评审意见表样式见附件。</w:t>
      </w:r>
    </w:p>
    <w:p>
      <w:pPr>
        <w:spacing w:line="560" w:lineRule="exact"/>
        <w:ind w:firstLine="643" w:firstLineChars="200"/>
        <w:rPr>
          <w:rFonts w:ascii="黑体" w:hAnsi="黑体" w:eastAsia="黑体" w:cs="Arial"/>
          <w:b/>
          <w:bCs/>
          <w:kern w:val="0"/>
          <w:sz w:val="32"/>
          <w:szCs w:val="32"/>
        </w:rPr>
      </w:pPr>
    </w:p>
    <w:p>
      <w:pPr>
        <w:spacing w:line="560" w:lineRule="exact"/>
        <w:ind w:firstLine="643" w:firstLineChars="200"/>
        <w:rPr>
          <w:rFonts w:hint="eastAsia" w:ascii="仿宋_GB2312" w:hAnsi="宋体" w:eastAsia="仿宋_GB2312" w:cs="宋体"/>
          <w:b w:val="0"/>
          <w:kern w:val="0"/>
          <w:sz w:val="32"/>
          <w:szCs w:val="32"/>
        </w:rPr>
      </w:pPr>
      <w:r>
        <w:rPr>
          <w:rFonts w:hint="eastAsia" w:ascii="仿宋_GB2312" w:hAnsi="宋体" w:eastAsia="仿宋_GB2312" w:cs="宋体"/>
          <w:b/>
          <w:bCs/>
          <w:kern w:val="0"/>
          <w:sz w:val="32"/>
          <w:szCs w:val="32"/>
        </w:rPr>
        <w:t>第二十四条</w:t>
      </w:r>
      <w:r>
        <w:rPr>
          <w:rFonts w:ascii="黑体" w:hAnsi="黑体" w:eastAsia="黑体" w:cs="Arial"/>
          <w:b/>
          <w:bCs/>
          <w:color w:val="3333FF"/>
          <w:kern w:val="0"/>
          <w:sz w:val="32"/>
          <w:szCs w:val="32"/>
        </w:rPr>
        <w:t xml:space="preserve"> </w:t>
      </w:r>
      <w:r>
        <w:rPr>
          <w:rFonts w:hint="eastAsia" w:ascii="仿宋_GB2312" w:hAnsi="宋体" w:eastAsia="仿宋_GB2312" w:cs="宋体"/>
          <w:b w:val="0"/>
          <w:bCs w:val="0"/>
          <w:kern w:val="0"/>
          <w:sz w:val="32"/>
          <w:szCs w:val="32"/>
        </w:rPr>
        <w:t>论证意见应包含以下论证要素：依据、范围、危险性分析、对应急预案的组织机构、处置程序、保障措施、信息报告程序、应急物资保障等。论证意见应有明确的论证结论和与会人员的签字。</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第二十五条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生产经营单位的应急预案经评审或者论证</w:t>
      </w:r>
      <w:r>
        <w:rPr>
          <w:rFonts w:hint="eastAsia" w:ascii="仿宋_GB2312" w:hAnsi="宋体" w:eastAsia="仿宋_GB2312" w:cs="Arial"/>
          <w:b w:val="0"/>
          <w:bCs w:val="0"/>
          <w:kern w:val="0"/>
          <w:sz w:val="32"/>
          <w:szCs w:val="32"/>
        </w:rPr>
        <w:t>并修订完善</w:t>
      </w:r>
      <w:r>
        <w:rPr>
          <w:rFonts w:hint="eastAsia" w:ascii="仿宋_GB2312" w:hAnsi="宋体" w:eastAsia="仿宋_GB2312" w:cs="Arial"/>
          <w:kern w:val="0"/>
          <w:sz w:val="32"/>
          <w:szCs w:val="32"/>
        </w:rPr>
        <w:t>后，由本单位主要负责人签署公布，并及时发放到本单位有关部门、岗位和相关应急救援队伍。</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事故风险可能影响周边其他单位、人员的，生产经营单位应当将有关事故风险的性质、影响范围和应急防范措施告知周边的其他单位和人员。</w:t>
      </w:r>
    </w:p>
    <w:p>
      <w:pPr>
        <w:spacing w:line="560" w:lineRule="exact"/>
        <w:ind w:firstLine="640" w:firstLineChars="200"/>
        <w:rPr>
          <w:rFonts w:ascii="仿宋_GB2312" w:hAnsi="宋体" w:eastAsia="仿宋_GB2312" w:cs="Arial"/>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第四章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应急预案的备案</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kern w:val="0"/>
          <w:sz w:val="32"/>
          <w:szCs w:val="32"/>
        </w:rPr>
      </w:pPr>
      <w:r>
        <w:rPr>
          <w:rFonts w:hint="eastAsia" w:ascii="仿宋_GB2312" w:hAnsi="宋体" w:eastAsia="仿宋_GB2312" w:cs="Arial"/>
          <w:b/>
          <w:bCs/>
          <w:kern w:val="0"/>
          <w:sz w:val="32"/>
          <w:szCs w:val="32"/>
        </w:rPr>
        <w:t>第二十六条</w:t>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县级以上</w:t>
      </w:r>
      <w:r>
        <w:rPr>
          <w:rFonts w:hint="eastAsia" w:ascii="仿宋_GB2312" w:hAnsi="宋体" w:eastAsia="仿宋_GB2312" w:cs="Arial"/>
          <w:kern w:val="0"/>
          <w:sz w:val="32"/>
          <w:szCs w:val="32"/>
        </w:rPr>
        <w:t>安全生产监督管理部门的应急预案，应当报同级人民政府备案，并抄送上一级安全生产监督管理部门。其他负有安全生产监督管理职责的部门的应急预案，应当报同级人民政府备案，</w:t>
      </w:r>
      <w:r>
        <w:rPr>
          <w:rFonts w:hint="eastAsia" w:ascii="仿宋_GB2312" w:hAnsi="宋体" w:eastAsia="仿宋_GB2312" w:cs="Arial"/>
          <w:kern w:val="0"/>
          <w:sz w:val="32"/>
          <w:szCs w:val="32"/>
          <w:lang w:eastAsia="zh-CN"/>
        </w:rPr>
        <w:t>同时</w:t>
      </w:r>
      <w:r>
        <w:rPr>
          <w:rFonts w:hint="eastAsia" w:ascii="仿宋_GB2312" w:hAnsi="宋体" w:eastAsia="仿宋_GB2312" w:cs="Arial"/>
          <w:kern w:val="0"/>
          <w:sz w:val="32"/>
          <w:szCs w:val="32"/>
        </w:rPr>
        <w:t>抄送同级安全生产监督管理部门。</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r>
        <w:rPr>
          <w:rFonts w:ascii="仿宋_GB2312" w:hAnsi="宋体" w:eastAsia="仿宋_GB2312" w:cs="Arial"/>
          <w:kern w:val="0"/>
          <w:sz w:val="32"/>
          <w:szCs w:val="32"/>
        </w:rPr>
        <w:t xml:space="preserve"> </w:t>
      </w:r>
    </w:p>
    <w:p>
      <w:pPr>
        <w:spacing w:line="560" w:lineRule="exact"/>
        <w:ind w:firstLine="643" w:firstLineChars="200"/>
        <w:rPr>
          <w:rFonts w:ascii="黑体" w:hAnsi="黑体" w:eastAsia="黑体"/>
          <w:kern w:val="0"/>
          <w:sz w:val="32"/>
          <w:szCs w:val="32"/>
          <w:u w:val="single"/>
        </w:rPr>
      </w:pPr>
      <w:r>
        <w:rPr>
          <w:rFonts w:hint="eastAsia" w:ascii="仿宋_GB2312" w:hAnsi="宋体" w:eastAsia="仿宋_GB2312" w:cs="Arial"/>
          <w:b/>
          <w:bCs/>
          <w:kern w:val="0"/>
          <w:sz w:val="32"/>
          <w:szCs w:val="32"/>
        </w:rPr>
        <w:t>第二十七条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生产经营单位应当在应急预案公布之日起</w:t>
      </w:r>
      <w:r>
        <w:rPr>
          <w:rFonts w:ascii="仿宋_GB2312" w:hAnsi="宋体" w:eastAsia="仿宋_GB2312" w:cs="Arial"/>
          <w:kern w:val="0"/>
          <w:sz w:val="32"/>
          <w:szCs w:val="32"/>
        </w:rPr>
        <w:t>20</w:t>
      </w:r>
      <w:r>
        <w:rPr>
          <w:rFonts w:hint="eastAsia" w:ascii="仿宋_GB2312" w:hAnsi="宋体" w:eastAsia="仿宋_GB2312" w:cs="Arial"/>
          <w:kern w:val="0"/>
          <w:sz w:val="32"/>
          <w:szCs w:val="32"/>
        </w:rPr>
        <w:t>个工作日内，按照分级属地原则，向安全生产监督管理部门和其他负有安全生产监督管理职责的部门进行告知性备案。</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省安监局直接监管的中央企业在鄂分公司、省属企业总部，其所属单位的应急预案报省安监局备案。市安监局直接监管的中央企业在鄂分公司所属二级机构、部门或项目部、省属企业二级机构、市（州）属企业，其所属单位的应急预案报市安监局备案。</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非煤矿山、金属冶炼和危险化学品生产、经营、储存企业，以及使用危险化学品达到国家规定数量的化工企业、烟花爆竹生产、批发经营企业的应急预案，按照隶属关系报所在地县级以上安全生产监督管理部门备案。</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前款规定以外的其他生产经营单位应急预案的备案，由省、市、县人民政府负有安全生产监督管理职责的部门负责。</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油气输送管道运营单位的应急预案，除</w:t>
      </w:r>
      <w:r>
        <w:rPr>
          <w:rFonts w:hint="eastAsia" w:ascii="仿宋_GB2312" w:hAnsi="宋体" w:eastAsia="仿宋_GB2312" w:cs="Arial"/>
          <w:b w:val="0"/>
          <w:bCs w:val="0"/>
          <w:kern w:val="0"/>
          <w:sz w:val="32"/>
          <w:szCs w:val="32"/>
        </w:rPr>
        <w:t>按照本条有关规定备案外</w:t>
      </w:r>
      <w:r>
        <w:rPr>
          <w:rFonts w:hint="eastAsia" w:ascii="仿宋_GB2312" w:hAnsi="宋体" w:eastAsia="仿宋_GB2312" w:cs="Arial"/>
          <w:kern w:val="0"/>
          <w:sz w:val="32"/>
          <w:szCs w:val="32"/>
        </w:rPr>
        <w:t>，还应当抄送所跨行政区域的县级安全生产监督管理部门。</w:t>
      </w:r>
    </w:p>
    <w:p>
      <w:pPr>
        <w:widowControl/>
        <w:spacing w:line="560" w:lineRule="exact"/>
        <w:ind w:firstLine="640" w:firstLineChars="200"/>
        <w:rPr>
          <w:rFonts w:ascii="宋体" w:hAnsi="宋体" w:eastAsia="仿宋_GB2312" w:cs="Arial"/>
          <w:kern w:val="0"/>
          <w:sz w:val="32"/>
          <w:szCs w:val="32"/>
        </w:rPr>
      </w:pPr>
    </w:p>
    <w:p>
      <w:pPr>
        <w:widowControl/>
        <w:spacing w:line="560" w:lineRule="exact"/>
        <w:ind w:firstLine="640" w:firstLineChars="200"/>
        <w:rPr>
          <w:rFonts w:ascii="宋体"/>
          <w:kern w:val="0"/>
          <w:sz w:val="24"/>
          <w:szCs w:val="24"/>
        </w:rPr>
      </w:pPr>
      <w:r>
        <w:rPr>
          <w:rFonts w:hint="eastAsia" w:ascii="仿宋_GB2312" w:hAnsi="宋体" w:eastAsia="仿宋_GB2312" w:cs="Arial"/>
          <w:b/>
          <w:bCs/>
          <w:kern w:val="0"/>
          <w:sz w:val="32"/>
          <w:szCs w:val="32"/>
        </w:rPr>
        <w:t>第二十八条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生产经营单位申报应急预案备案，应当提交下列材料</w:t>
      </w:r>
      <w:r>
        <w:rPr>
          <w:rFonts w:hint="eastAsia" w:ascii="黑体" w:hAnsi="黑体" w:eastAsia="黑体" w:cs="Arial"/>
          <w:b/>
          <w:bCs/>
          <w:kern w:val="0"/>
          <w:sz w:val="32"/>
          <w:szCs w:val="32"/>
        </w:rPr>
        <w:t>：</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（一）应急预案备案申报表；</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（二）应急预案书面评审纪要或者论证意见；</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（三）应急预案文本及电子文档</w:t>
      </w:r>
      <w:r>
        <w:rPr>
          <w:rFonts w:hint="eastAsia" w:ascii="仿宋_GB2312" w:hAnsi="宋体" w:eastAsia="仿宋_GB2312" w:cs="Arial"/>
          <w:b w:val="0"/>
          <w:bCs w:val="0"/>
          <w:kern w:val="0"/>
          <w:sz w:val="32"/>
          <w:szCs w:val="32"/>
        </w:rPr>
        <w:t>（包括应急通讯录、应急装备、器材、物资及队伍保障清单等）</w:t>
      </w:r>
      <w:r>
        <w:rPr>
          <w:rFonts w:hint="eastAsia" w:ascii="仿宋_GB2312" w:hAnsi="宋体" w:eastAsia="仿宋_GB2312" w:cs="Arial"/>
          <w:kern w:val="0"/>
          <w:sz w:val="32"/>
          <w:szCs w:val="32"/>
        </w:rPr>
        <w:t>；</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（四）风险评估结果和应急资源调查清单。</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bCs/>
          <w:kern w:val="0"/>
          <w:sz w:val="32"/>
          <w:szCs w:val="32"/>
        </w:rPr>
        <w:t>第二十九条</w:t>
      </w:r>
      <w:r>
        <w:rPr>
          <w:rFonts w:ascii="仿宋_GB2312" w:hAnsi="宋体" w:eastAsia="仿宋_GB2312" w:cs="Arial"/>
          <w:b/>
          <w:bCs/>
          <w:kern w:val="0"/>
          <w:sz w:val="32"/>
          <w:szCs w:val="32"/>
        </w:rPr>
        <w:t xml:space="preserve"> </w:t>
      </w:r>
      <w:r>
        <w:rPr>
          <w:rFonts w:hint="eastAsia" w:ascii="仿宋_GB2312" w:hAnsi="宋体" w:eastAsia="仿宋_GB2312" w:cs="Arial"/>
          <w:b w:val="0"/>
          <w:bCs w:val="0"/>
          <w:kern w:val="0"/>
          <w:sz w:val="32"/>
          <w:szCs w:val="32"/>
        </w:rPr>
        <w:t>在安全生产监督管理部门备案的生产经营单位按照下列程序办理：</w:t>
      </w:r>
    </w:p>
    <w:p>
      <w:pPr>
        <w:spacing w:line="560" w:lineRule="exact"/>
        <w:ind w:firstLine="643" w:firstLineChars="200"/>
        <w:rPr>
          <w:rFonts w:hint="eastAsia" w:ascii="仿宋_GB2312" w:hAnsi="宋体" w:eastAsia="仿宋_GB2312" w:cs="Arial"/>
          <w:kern w:val="0"/>
          <w:sz w:val="32"/>
          <w:szCs w:val="32"/>
        </w:rPr>
      </w:pPr>
      <w:r>
        <w:rPr>
          <w:rFonts w:hint="eastAsia" w:ascii="仿宋_GB2312" w:hAnsi="宋体" w:eastAsia="仿宋_GB2312" w:cs="Arial"/>
          <w:b w:val="0"/>
          <w:bCs w:val="0"/>
          <w:kern w:val="0"/>
          <w:sz w:val="32"/>
          <w:szCs w:val="32"/>
        </w:rPr>
        <w:t>（一）生产经营单位通过省安监局门户网站应急预案与资源报备管理系统（以下简称预案报备系统）提交预案备案材料；</w:t>
      </w:r>
    </w:p>
    <w:p>
      <w:pPr>
        <w:widowControl w:val="0"/>
        <w:spacing w:line="560" w:lineRule="exact"/>
        <w:ind w:firstLine="643" w:firstLineChars="200"/>
        <w:jc w:val="both"/>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二）预案受理部门在5个工作日内对申请单位网上提交的材料进行核对，材料齐全的，通过预案报备系统通知申请单位提交有关纸质备案材料办理备案登记手续，并出具应急预案备案登记表。材料不齐全的，通过预案报备系统通知申请单位需要补齐的材料，申请单位应当对材料进行一次性补正。</w:t>
      </w:r>
    </w:p>
    <w:p>
      <w:pPr>
        <w:widowControl w:val="0"/>
        <w:spacing w:line="560" w:lineRule="exact"/>
        <w:ind w:firstLine="643" w:firstLineChars="200"/>
        <w:jc w:val="both"/>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申请单位补齐备案材料所需时间，不计算在前款规定的期限内。</w:t>
      </w:r>
    </w:p>
    <w:p>
      <w:pPr>
        <w:spacing w:line="560" w:lineRule="exact"/>
        <w:ind w:firstLine="643" w:firstLineChars="200"/>
        <w:rPr>
          <w:rFonts w:hint="eastAsia" w:ascii="仿宋_GB2312" w:hAnsi="宋体" w:eastAsia="仿宋_GB2312" w:cs="Arial"/>
          <w:b w:val="0"/>
          <w:bCs w:val="0"/>
          <w:color w:val="auto"/>
          <w:kern w:val="0"/>
          <w:sz w:val="32"/>
          <w:szCs w:val="32"/>
        </w:rPr>
      </w:pPr>
      <w:r>
        <w:rPr>
          <w:rFonts w:hint="eastAsia" w:ascii="仿宋_GB2312" w:hAnsi="宋体" w:eastAsia="仿宋_GB2312" w:cs="Arial"/>
          <w:b w:val="0"/>
          <w:bCs w:val="0"/>
          <w:kern w:val="0"/>
          <w:sz w:val="32"/>
          <w:szCs w:val="32"/>
        </w:rPr>
        <w:t>其他负有安全生产监督管理职责的部门</w:t>
      </w:r>
      <w:r>
        <w:rPr>
          <w:rFonts w:hint="eastAsia" w:ascii="仿宋_GB2312" w:hAnsi="宋体" w:eastAsia="仿宋_GB2312" w:cs="Arial"/>
          <w:b w:val="0"/>
          <w:bCs w:val="0"/>
          <w:color w:val="auto"/>
          <w:kern w:val="0"/>
          <w:sz w:val="32"/>
          <w:szCs w:val="32"/>
        </w:rPr>
        <w:t>可使用省安监局的预案报备系统，开展应急预案备案。</w:t>
      </w:r>
    </w:p>
    <w:p>
      <w:pPr>
        <w:spacing w:line="560" w:lineRule="exact"/>
        <w:ind w:firstLine="643" w:firstLineChars="200"/>
        <w:rPr>
          <w:rFonts w:ascii="黑体" w:hAnsi="黑体" w:eastAsia="黑体" w:cs="Arial"/>
          <w:b/>
          <w:bCs/>
          <w:color w:val="FF0000"/>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第三十条</w:t>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县级以上</w:t>
      </w:r>
      <w:r>
        <w:rPr>
          <w:rFonts w:hint="eastAsia" w:ascii="仿宋_GB2312" w:hAnsi="宋体" w:eastAsia="仿宋_GB2312" w:cs="Arial"/>
          <w:kern w:val="0"/>
          <w:sz w:val="32"/>
          <w:szCs w:val="32"/>
        </w:rPr>
        <w:t>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应当建立应急预案备案登记建档制度，指导、督促生产经营单位做好应急预案的备案登记工作。</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对于实行安全生产许可的生产经营单位，已经进行应急预案备案的，在申请安全生产许可证时，可以不提供相应的应急预案，仅提供应急预案备案登记表。</w:t>
      </w:r>
    </w:p>
    <w:p>
      <w:pPr>
        <w:spacing w:line="560" w:lineRule="exact"/>
        <w:rPr>
          <w:rFonts w:ascii="黑体" w:hAnsi="黑体" w:eastAsia="黑体" w:cs="Arial"/>
          <w:b/>
          <w:bCs/>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第五章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应急预案的实施</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第三十一条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、各类生产经营单位应当采取多种形式开展应急预案的宣传教育，普及生产安全事故避险、自救和互救知识，提高从业人员和社会公众的安全意识与应急处置技能。</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第三十二条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各级安全生产监督管理部门应当将本部门应急预案的培训纳入安全生产培训工作计划，并组织实施本行政区域内重点生产经营单位的应急预案培训工作。</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生产经营单位应当组织开展本单位的应急预案、应急知识、自救互救和避险逃生技能的培训活动，使有关人员了解应急预案内容，熟悉应急职责、应急处置程序和措施。</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应急培训的时间、地点、内容、师资、参加人员和考核结果等情况应当如实记入本单位的安全生产教育和培训档案。</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第三十三条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应当定期组织应急预案演练，提高本部门、本地区生产安全事故应急处置能力。</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第三十四条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生产经营单位应当</w:t>
      </w:r>
      <w:r>
        <w:rPr>
          <w:rFonts w:hint="eastAsia" w:ascii="仿宋_GB2312" w:hAnsi="宋体" w:eastAsia="仿宋_GB2312" w:cs="Arial"/>
          <w:b w:val="0"/>
          <w:bCs w:val="0"/>
          <w:kern w:val="0"/>
          <w:sz w:val="32"/>
          <w:szCs w:val="32"/>
        </w:rPr>
        <w:t>建立健全应急预案演练制度</w:t>
      </w:r>
      <w:r>
        <w:rPr>
          <w:rFonts w:hint="eastAsia" w:ascii="仿宋_GB2312" w:hAnsi="宋体" w:eastAsia="仿宋_GB2312" w:cs="Arial"/>
          <w:kern w:val="0"/>
          <w:sz w:val="32"/>
          <w:szCs w:val="32"/>
        </w:rPr>
        <w:t>，制定本单位的应急预案演练计划，根据本单位的事故风险特点，每年至少组织一次综合应急预案演练或者专项应急预案演练，每</w:t>
      </w:r>
      <w:r>
        <w:rPr>
          <w:rFonts w:hint="eastAsia" w:ascii="仿宋_GB2312" w:hAnsi="宋体" w:eastAsia="仿宋_GB2312" w:cs="Arial"/>
          <w:kern w:val="0"/>
          <w:sz w:val="32"/>
          <w:szCs w:val="32"/>
          <w:lang w:eastAsia="zh-CN"/>
        </w:rPr>
        <w:t>季度</w:t>
      </w:r>
      <w:r>
        <w:rPr>
          <w:rFonts w:hint="eastAsia" w:ascii="仿宋_GB2312" w:hAnsi="宋体" w:eastAsia="仿宋_GB2312" w:cs="Arial"/>
          <w:kern w:val="0"/>
          <w:sz w:val="32"/>
          <w:szCs w:val="32"/>
        </w:rPr>
        <w:t>至少组织一次现场处置方案演练。</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生产经营单位</w:t>
      </w:r>
      <w:r>
        <w:rPr>
          <w:rFonts w:hint="eastAsia" w:ascii="仿宋_GB2312" w:hAnsi="宋体" w:eastAsia="仿宋_GB2312" w:cs="Arial"/>
          <w:b w:val="0"/>
          <w:bCs w:val="0"/>
          <w:kern w:val="0"/>
          <w:sz w:val="32"/>
          <w:szCs w:val="32"/>
          <w:lang w:eastAsia="zh-CN"/>
        </w:rPr>
        <w:t>的综合或专项</w:t>
      </w:r>
      <w:r>
        <w:rPr>
          <w:rFonts w:hint="eastAsia" w:ascii="仿宋_GB2312" w:hAnsi="宋体" w:eastAsia="仿宋_GB2312" w:cs="Arial"/>
          <w:b w:val="0"/>
          <w:bCs w:val="0"/>
          <w:kern w:val="0"/>
          <w:sz w:val="32"/>
          <w:szCs w:val="32"/>
        </w:rPr>
        <w:t>应急预案演练</w:t>
      </w:r>
      <w:r>
        <w:rPr>
          <w:rFonts w:hint="eastAsia" w:ascii="仿宋_GB2312" w:hAnsi="宋体" w:eastAsia="仿宋_GB2312" w:cs="Arial"/>
          <w:b w:val="0"/>
          <w:bCs w:val="0"/>
          <w:kern w:val="0"/>
          <w:sz w:val="32"/>
          <w:szCs w:val="32"/>
          <w:lang w:eastAsia="zh-CN"/>
        </w:rPr>
        <w:t>须有</w:t>
      </w:r>
      <w:r>
        <w:rPr>
          <w:rFonts w:hint="eastAsia" w:ascii="仿宋_GB2312" w:hAnsi="宋体" w:eastAsia="仿宋_GB2312" w:cs="Arial"/>
          <w:b w:val="0"/>
          <w:bCs w:val="0"/>
          <w:kern w:val="0"/>
          <w:sz w:val="32"/>
          <w:szCs w:val="32"/>
        </w:rPr>
        <w:t>应急管理专家参加</w:t>
      </w:r>
      <w:r>
        <w:rPr>
          <w:rFonts w:hint="eastAsia" w:ascii="仿宋_GB2312" w:hAnsi="宋体" w:eastAsia="仿宋_GB2312" w:cs="Arial"/>
          <w:b w:val="0"/>
          <w:bCs w:val="0"/>
          <w:kern w:val="0"/>
          <w:sz w:val="32"/>
          <w:szCs w:val="32"/>
          <w:lang w:eastAsia="zh-CN"/>
        </w:rPr>
        <w:t>，</w:t>
      </w:r>
      <w:r>
        <w:rPr>
          <w:rFonts w:hint="eastAsia" w:ascii="仿宋_GB2312" w:hAnsi="宋体" w:eastAsia="仿宋_GB2312" w:cs="Arial"/>
          <w:b w:val="0"/>
          <w:bCs w:val="0"/>
          <w:kern w:val="0"/>
          <w:sz w:val="32"/>
          <w:szCs w:val="32"/>
        </w:rPr>
        <w:t>可邀请有关安全生产监督管理部门</w:t>
      </w:r>
      <w:r>
        <w:rPr>
          <w:rFonts w:hint="eastAsia" w:ascii="仿宋_GB2312" w:hAnsi="宋体" w:eastAsia="仿宋_GB2312" w:cs="Arial"/>
          <w:b w:val="0"/>
          <w:bCs w:val="0"/>
          <w:kern w:val="0"/>
          <w:sz w:val="32"/>
          <w:szCs w:val="32"/>
          <w:lang w:eastAsia="zh-CN"/>
        </w:rPr>
        <w:t>人员</w:t>
      </w:r>
      <w:r>
        <w:rPr>
          <w:rFonts w:hint="eastAsia" w:ascii="仿宋_GB2312" w:hAnsi="宋体" w:eastAsia="仿宋_GB2312" w:cs="Arial"/>
          <w:b w:val="0"/>
          <w:bCs w:val="0"/>
          <w:kern w:val="0"/>
          <w:sz w:val="32"/>
          <w:szCs w:val="32"/>
        </w:rPr>
        <w:t>参加。</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第三十五条</w:t>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应急预案演练对周边单位或居民正常生产和生活可能造成影响的，应在演练5个工作日前公示告知，并采取相关措施，保障群众利益。</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第三十六条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应急预案演练结束后，应急预案演练组织单位应当对应急预案演练效果进行评估，撰写应急预案演练评估报告，分析存在的问题，并对应急预案提出修订意见。</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color w:val="auto"/>
          <w:kern w:val="0"/>
          <w:sz w:val="32"/>
          <w:szCs w:val="32"/>
        </w:rPr>
        <w:t>应急预案演练资料（包括演练计划、方案、脚本、音像等）和评估报告应当如实记入本单位的安全生产档案。</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第三十七条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应急预案编制单位应当建立应急预案定期评估制度，对预案内容的针对性和实用性进行分析，并对应急预案是否需要修订作出结论。</w:t>
      </w:r>
    </w:p>
    <w:p>
      <w:pPr>
        <w:spacing w:line="560" w:lineRule="exact"/>
        <w:ind w:firstLine="640" w:firstLineChars="200"/>
        <w:rPr>
          <w:rFonts w:hint="eastAsia" w:ascii="仿宋_GB2312" w:hAnsi="宋体" w:eastAsia="仿宋_GB2312" w:cs="Arial"/>
          <w:kern w:val="0"/>
          <w:sz w:val="32"/>
          <w:szCs w:val="32"/>
        </w:rPr>
      </w:pPr>
      <w:r>
        <w:rPr>
          <w:rFonts w:hint="eastAsia" w:ascii="仿宋_GB2312" w:hAnsi="宋体" w:eastAsia="仿宋_GB2312" w:cs="Arial"/>
          <w:kern w:val="0"/>
          <w:sz w:val="32"/>
          <w:szCs w:val="32"/>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应急预案评估可以邀请相关专业机构或者有关专家、有实际应急救援工作经验的人员参加，必要时可以委托安全生产技术服务机构实施。</w:t>
      </w:r>
    </w:p>
    <w:p>
      <w:pPr>
        <w:spacing w:line="560" w:lineRule="exact"/>
        <w:ind w:firstLine="640" w:firstLineChars="200"/>
        <w:rPr>
          <w:rFonts w:hint="eastAsia" w:ascii="仿宋_GB2312" w:hAnsi="宋体" w:eastAsia="仿宋_GB2312" w:cs="Arial"/>
          <w:b w:val="0"/>
          <w:bCs w:val="0"/>
          <w:color w:val="auto"/>
          <w:kern w:val="0"/>
          <w:sz w:val="32"/>
          <w:szCs w:val="32"/>
        </w:rPr>
      </w:pPr>
      <w:r>
        <w:rPr>
          <w:rFonts w:hint="eastAsia" w:ascii="仿宋_GB2312" w:hAnsi="宋体" w:eastAsia="仿宋_GB2312" w:cs="Arial"/>
          <w:b w:val="0"/>
          <w:bCs w:val="0"/>
          <w:color w:val="auto"/>
          <w:kern w:val="0"/>
          <w:sz w:val="32"/>
          <w:szCs w:val="32"/>
        </w:rPr>
        <w:t>应急预案评估工作完成后，应按照应急预案报备程序重新备案。</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第三十八条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制定的部门应急预案，应根据法律法规、标准、预案演练、机构变化等情况适时修订。</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r>
        <w:rPr>
          <w:rFonts w:ascii="仿宋_GB2312" w:hAnsi="宋体" w:eastAsia="仿宋_GB2312" w:cs="Arial"/>
          <w:kern w:val="0"/>
          <w:sz w:val="32"/>
          <w:szCs w:val="32"/>
        </w:rPr>
        <w:t xml:space="preserve"> </w:t>
      </w:r>
    </w:p>
    <w:p>
      <w:pPr>
        <w:spacing w:line="560" w:lineRule="exact"/>
        <w:ind w:firstLine="643" w:firstLineChars="200"/>
        <w:rPr>
          <w:rFonts w:ascii="黑体" w:hAnsi="黑体" w:eastAsia="黑体" w:cs="Arial"/>
          <w:kern w:val="0"/>
          <w:sz w:val="32"/>
          <w:szCs w:val="32"/>
        </w:rPr>
      </w:pPr>
      <w:r>
        <w:rPr>
          <w:rFonts w:hint="eastAsia" w:ascii="仿宋_GB2312" w:hAnsi="宋体" w:eastAsia="仿宋_GB2312" w:cs="Arial"/>
          <w:b/>
          <w:bCs/>
          <w:kern w:val="0"/>
          <w:sz w:val="32"/>
          <w:szCs w:val="32"/>
        </w:rPr>
        <w:t>第三十九条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有下列情形之一的，应急预案应当及时修订归档</w:t>
      </w:r>
      <w:r>
        <w:rPr>
          <w:rFonts w:hint="eastAsia" w:ascii="黑体" w:hAnsi="黑体" w:eastAsia="黑体" w:cs="Arial"/>
          <w:kern w:val="0"/>
          <w:sz w:val="32"/>
          <w:szCs w:val="32"/>
        </w:rPr>
        <w:t>：</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（一）依据的法律法规、规章、标准及上位预案中的有关规定发生重大变化的；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（二）应急指挥机构及其职责发生调整的；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（三）面临的事故风险发生重大变化的；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（四）重要应急资源发生重大变化的；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（五）预案中的其他重要信息发生变化的；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（六）在应急演练和事故应急救援中发现问题需要修订的；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（七）编制单位认为应当修订的其他情况。</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bCs/>
          <w:kern w:val="0"/>
          <w:sz w:val="32"/>
          <w:szCs w:val="32"/>
        </w:rPr>
        <w:t>第四十条</w:t>
      </w:r>
      <w:r>
        <w:rPr>
          <w:rFonts w:hint="eastAsia" w:ascii="仿宋_GB2312" w:hAnsi="宋体" w:eastAsia="仿宋_GB2312" w:cs="Arial"/>
          <w:kern w:val="0"/>
          <w:sz w:val="32"/>
          <w:szCs w:val="32"/>
        </w:rPr>
        <w:t xml:space="preserve"> 应急预案修订涉及组织指挥体系与职责、处置程序</w:t>
      </w:r>
      <w:r>
        <w:rPr>
          <w:rFonts w:hint="eastAsia" w:ascii="仿宋_GB2312" w:hAnsi="宋体" w:eastAsia="仿宋_GB2312" w:cs="Arial"/>
          <w:b w:val="0"/>
          <w:bCs w:val="0"/>
          <w:color w:val="auto"/>
          <w:kern w:val="0"/>
          <w:sz w:val="32"/>
          <w:szCs w:val="32"/>
        </w:rPr>
        <w:t>和响应措施</w:t>
      </w:r>
      <w:r>
        <w:rPr>
          <w:rFonts w:hint="eastAsia" w:ascii="仿宋_GB2312" w:hAnsi="宋体" w:eastAsia="仿宋_GB2312" w:cs="Arial"/>
          <w:kern w:val="0"/>
          <w:sz w:val="32"/>
          <w:szCs w:val="32"/>
        </w:rPr>
        <w:t>、</w:t>
      </w:r>
      <w:r>
        <w:rPr>
          <w:rFonts w:hint="eastAsia" w:ascii="仿宋_GB2312" w:hAnsi="宋体" w:eastAsia="仿宋_GB2312" w:cs="Arial"/>
          <w:b w:val="0"/>
          <w:bCs w:val="0"/>
          <w:color w:val="auto"/>
          <w:kern w:val="0"/>
          <w:sz w:val="32"/>
          <w:szCs w:val="32"/>
        </w:rPr>
        <w:t>主要事故风险</w:t>
      </w:r>
      <w:r>
        <w:rPr>
          <w:rFonts w:hint="eastAsia" w:ascii="仿宋_GB2312" w:hAnsi="宋体" w:eastAsia="仿宋_GB2312" w:cs="Arial"/>
          <w:kern w:val="0"/>
          <w:sz w:val="32"/>
          <w:szCs w:val="32"/>
        </w:rPr>
        <w:t>等内容变更的，修订工作应当参照本办法规定的应急预案编制程序进行，并按照有关应急预案报备程序重新备案。</w:t>
      </w:r>
    </w:p>
    <w:p>
      <w:pPr>
        <w:spacing w:line="560" w:lineRule="exact"/>
        <w:ind w:firstLine="643" w:firstLineChars="200"/>
        <w:rPr>
          <w:rFonts w:hint="eastAsia" w:ascii="仿宋_GB2312" w:hAnsi="宋体" w:eastAsia="仿宋_GB2312" w:cs="Arial"/>
          <w:b w:val="0"/>
          <w:bCs w:val="0"/>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第四十一条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生产经营单位应当按照应急预案的规定，落实应急指挥体系、应急救援队伍、应急物资及装备，建立应急物资、装备配备及其使用档案，并对应急物资、装备进行定期检测和维护，使其处于适用状态。</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第四十二条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生产经营单位发生事故时，应当第一时间启动应急响应，组织有关力量进行救援，并按照规定将事故信息及应急响应启动情况报告安全生产监督管理部门和其他负有安全生产监督管理职责的部门。</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第四十三条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生产安全事故应急处置和应急救援结束后，事故发生单位应当对应急预案实施情况进行总结评估。</w:t>
      </w:r>
    </w:p>
    <w:p>
      <w:pPr>
        <w:spacing w:line="560" w:lineRule="exact"/>
        <w:ind w:firstLine="640" w:firstLineChars="200"/>
        <w:rPr>
          <w:rFonts w:ascii="仿宋_GB2312" w:hAnsi="宋体" w:eastAsia="仿宋_GB2312" w:cs="Arial"/>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第六章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监督管理</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第四十四条</w:t>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县级以上</w:t>
      </w:r>
      <w:r>
        <w:rPr>
          <w:rFonts w:hint="eastAsia" w:ascii="仿宋_GB2312" w:hAnsi="宋体" w:eastAsia="仿宋_GB2312" w:cs="Arial"/>
          <w:kern w:val="0"/>
          <w:sz w:val="32"/>
          <w:szCs w:val="32"/>
        </w:rPr>
        <w:t>安全生产监督管理部门应当将生产经营单位应急预案工作纳入年度监督检查计划，明确检查的重点内容和标准，开展</w:t>
      </w:r>
      <w:r>
        <w:rPr>
          <w:rFonts w:hint="eastAsia" w:ascii="仿宋_GB2312" w:hAnsi="宋体" w:eastAsia="仿宋_GB2312" w:cs="Arial"/>
          <w:kern w:val="0"/>
          <w:sz w:val="32"/>
          <w:szCs w:val="32"/>
          <w:lang w:eastAsia="zh-CN"/>
        </w:rPr>
        <w:t>计划和专项</w:t>
      </w:r>
      <w:r>
        <w:rPr>
          <w:rFonts w:hint="eastAsia" w:ascii="仿宋_GB2312" w:hAnsi="宋体" w:eastAsia="仿宋_GB2312" w:cs="Arial"/>
          <w:kern w:val="0"/>
          <w:sz w:val="32"/>
          <w:szCs w:val="32"/>
        </w:rPr>
        <w:t>执法检查。</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第四十五条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对于在应急预案管理工作中做出显著成绩的单位和人员，安全生产监督管理部门、生产经营单位应给予表彰和奖励。</w:t>
      </w: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第七章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附则</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eastAsia="仿宋_GB2312"/>
          <w:sz w:val="32"/>
          <w:szCs w:val="32"/>
        </w:rPr>
      </w:pPr>
      <w:r>
        <w:rPr>
          <w:rFonts w:hint="eastAsia" w:ascii="仿宋_GB2312" w:hAnsi="宋体" w:eastAsia="仿宋_GB2312" w:cs="Arial"/>
          <w:b/>
          <w:bCs/>
          <w:kern w:val="0"/>
          <w:sz w:val="32"/>
          <w:szCs w:val="32"/>
        </w:rPr>
        <w:t>第四十六条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应急预案的备案登记统一使用</w:t>
      </w:r>
      <w:bookmarkStart w:id="1" w:name="_Toc299973680"/>
      <w:r>
        <w:rPr>
          <w:rFonts w:hint="eastAsia" w:ascii="仿宋_GB2312" w:hAnsi="宋体" w:eastAsia="仿宋_GB2312" w:cs="Arial"/>
          <w:kern w:val="0"/>
          <w:sz w:val="32"/>
          <w:szCs w:val="32"/>
        </w:rPr>
        <w:t>国家安全生产应急救援指挥中心制定的《生产经营单位生产安全事故应急预案备案申报表》和《生产经营单位生产安全事故应急预案备案登记表》</w:t>
      </w:r>
      <w:bookmarkEnd w:id="1"/>
      <w:r>
        <w:rPr>
          <w:rFonts w:hint="eastAsia" w:ascii="仿宋_GB2312" w:hAnsi="宋体" w:eastAsia="仿宋_GB2312" w:cs="Arial"/>
          <w:kern w:val="0"/>
          <w:sz w:val="32"/>
          <w:szCs w:val="32"/>
        </w:rPr>
        <w:t>的表格。应急预案备案登记表备案编号由</w:t>
      </w:r>
      <w:r>
        <w:rPr>
          <w:rFonts w:hint="eastAsia" w:ascii="仿宋_GB2312" w:hAnsi="宋体" w:eastAsia="仿宋_GB2312" w:cs="Arial"/>
          <w:b w:val="0"/>
          <w:bCs w:val="0"/>
          <w:kern w:val="0"/>
          <w:sz w:val="32"/>
          <w:szCs w:val="32"/>
        </w:rPr>
        <w:t>行业主管部门简称</w:t>
      </w:r>
      <w:r>
        <w:rPr>
          <w:rFonts w:hint="eastAsia" w:ascii="仿宋_GB2312" w:hAnsi="宋体" w:eastAsia="仿宋_GB2312" w:cs="Arial"/>
          <w:kern w:val="0"/>
          <w:sz w:val="32"/>
          <w:szCs w:val="32"/>
        </w:rPr>
        <w:t>、县级以上备案机关行政区划代码（</w:t>
      </w:r>
      <w:r>
        <w:rPr>
          <w:rFonts w:ascii="仿宋_GB2312" w:hAnsi="宋体" w:eastAsia="仿宋_GB2312" w:cs="Arial"/>
          <w:kern w:val="0"/>
          <w:sz w:val="32"/>
          <w:szCs w:val="32"/>
        </w:rPr>
        <w:t>6</w:t>
      </w:r>
      <w:r>
        <w:rPr>
          <w:rFonts w:hint="eastAsia" w:ascii="仿宋_GB2312" w:hAnsi="宋体" w:eastAsia="仿宋_GB2312" w:cs="Arial"/>
          <w:kern w:val="0"/>
          <w:sz w:val="32"/>
          <w:szCs w:val="32"/>
        </w:rPr>
        <w:t>位数，查询确定）、年份（</w:t>
      </w:r>
      <w:r>
        <w:rPr>
          <w:rFonts w:ascii="仿宋_GB2312" w:hAnsi="宋体" w:eastAsia="仿宋_GB2312" w:cs="Arial"/>
          <w:kern w:val="0"/>
          <w:sz w:val="32"/>
          <w:szCs w:val="32"/>
        </w:rPr>
        <w:t>4</w:t>
      </w:r>
      <w:r>
        <w:rPr>
          <w:rFonts w:hint="eastAsia" w:ascii="仿宋_GB2312" w:hAnsi="宋体" w:eastAsia="仿宋_GB2312" w:cs="Arial"/>
          <w:kern w:val="0"/>
          <w:sz w:val="32"/>
          <w:szCs w:val="32"/>
        </w:rPr>
        <w:t>位数）和流水序号（</w:t>
      </w:r>
      <w:r>
        <w:rPr>
          <w:rFonts w:ascii="仿宋_GB2312" w:hAnsi="宋体" w:eastAsia="仿宋_GB2312" w:cs="Arial"/>
          <w:kern w:val="0"/>
          <w:sz w:val="32"/>
          <w:szCs w:val="32"/>
        </w:rPr>
        <w:t>4</w:t>
      </w:r>
      <w:r>
        <w:rPr>
          <w:rFonts w:hint="eastAsia" w:ascii="仿宋_GB2312" w:hAnsi="宋体" w:eastAsia="仿宋_GB2312" w:cs="Arial"/>
          <w:kern w:val="0"/>
          <w:sz w:val="32"/>
          <w:szCs w:val="32"/>
        </w:rPr>
        <w:t>位数）组成及跨区域（</w:t>
      </w:r>
      <w:r>
        <w:rPr>
          <w:rFonts w:ascii="仿宋_GB2312" w:hAnsi="宋体" w:eastAsia="仿宋_GB2312" w:cs="Arial"/>
          <w:kern w:val="0"/>
          <w:sz w:val="32"/>
          <w:szCs w:val="32"/>
        </w:rPr>
        <w:t>K</w:t>
      </w:r>
      <w:r>
        <w:rPr>
          <w:rFonts w:hint="eastAsia" w:ascii="仿宋_GB2312" w:hAnsi="宋体" w:eastAsia="仿宋_GB2312" w:cs="Arial"/>
          <w:kern w:val="0"/>
          <w:sz w:val="32"/>
          <w:szCs w:val="32"/>
        </w:rPr>
        <w:t>）表征字母组成。（例：安监</w:t>
      </w:r>
      <w:r>
        <w:rPr>
          <w:rFonts w:ascii="仿宋_GB2312" w:hAnsi="宋体" w:eastAsia="仿宋_GB2312" w:cs="Arial"/>
          <w:kern w:val="0"/>
          <w:sz w:val="32"/>
          <w:szCs w:val="32"/>
        </w:rPr>
        <w:t>42000020170001</w:t>
      </w:r>
      <w:r>
        <w:rPr>
          <w:rFonts w:hint="eastAsia" w:ascii="仿宋_GB2312" w:hAnsi="宋体" w:eastAsia="仿宋_GB2312" w:cs="Arial"/>
          <w:kern w:val="0"/>
          <w:sz w:val="32"/>
          <w:szCs w:val="32"/>
        </w:rPr>
        <w:t>，安监表示由安监系统备案，</w:t>
      </w:r>
      <w:r>
        <w:rPr>
          <w:rFonts w:ascii="仿宋_GB2312" w:hAnsi="宋体" w:eastAsia="仿宋_GB2312" w:cs="Arial"/>
          <w:kern w:val="0"/>
          <w:sz w:val="32"/>
          <w:szCs w:val="32"/>
        </w:rPr>
        <w:t>420000</w:t>
      </w:r>
      <w:r>
        <w:rPr>
          <w:rFonts w:hint="eastAsia" w:ascii="仿宋_GB2312" w:hAnsi="宋体" w:eastAsia="仿宋_GB2312" w:cs="Arial"/>
          <w:kern w:val="0"/>
          <w:sz w:val="32"/>
          <w:szCs w:val="32"/>
        </w:rPr>
        <w:t>表示由湖北省省级机关备案，</w:t>
      </w:r>
      <w:r>
        <w:rPr>
          <w:rFonts w:ascii="仿宋_GB2312" w:hAnsi="宋体" w:eastAsia="仿宋_GB2312" w:cs="Arial"/>
          <w:kern w:val="0"/>
          <w:sz w:val="32"/>
          <w:szCs w:val="32"/>
        </w:rPr>
        <w:t>2017</w:t>
      </w:r>
      <w:r>
        <w:rPr>
          <w:rFonts w:hint="eastAsia" w:ascii="仿宋_GB2312" w:hAnsi="宋体" w:eastAsia="仿宋_GB2312" w:cs="Arial"/>
          <w:kern w:val="0"/>
          <w:sz w:val="32"/>
          <w:szCs w:val="32"/>
        </w:rPr>
        <w:t>表示备案年份，</w:t>
      </w:r>
      <w:r>
        <w:rPr>
          <w:rFonts w:ascii="仿宋_GB2312" w:hAnsi="宋体" w:eastAsia="仿宋_GB2312" w:cs="Arial"/>
          <w:kern w:val="0"/>
          <w:sz w:val="32"/>
          <w:szCs w:val="32"/>
        </w:rPr>
        <w:t>0001</w:t>
      </w:r>
      <w:r>
        <w:rPr>
          <w:rFonts w:hint="eastAsia" w:ascii="仿宋_GB2312" w:hAnsi="宋体" w:eastAsia="仿宋_GB2312" w:cs="Arial"/>
          <w:kern w:val="0"/>
          <w:sz w:val="32"/>
          <w:szCs w:val="32"/>
        </w:rPr>
        <w:t>表示备案流水序号；如果是跨区域的企业，则编号为：安监</w:t>
      </w:r>
      <w:r>
        <w:rPr>
          <w:rFonts w:ascii="仿宋_GB2312" w:hAnsi="宋体" w:eastAsia="仿宋_GB2312" w:cs="Arial"/>
          <w:kern w:val="0"/>
          <w:sz w:val="32"/>
          <w:szCs w:val="32"/>
        </w:rPr>
        <w:t>42000020170001-K</w:t>
      </w:r>
      <w:r>
        <w:rPr>
          <w:rFonts w:hint="eastAsia" w:ascii="仿宋_GB2312" w:hAnsi="宋体" w:eastAsia="仿宋_GB2312" w:cs="Arial"/>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黑体" w:hAnsi="黑体" w:eastAsia="黑体"/>
          <w:sz w:val="32"/>
          <w:szCs w:val="32"/>
          <w:u w:val="single"/>
        </w:rPr>
      </w:pPr>
      <w:r>
        <w:rPr>
          <w:rFonts w:hint="eastAsia" w:ascii="仿宋_GB2312" w:hAnsi="宋体" w:eastAsia="仿宋_GB2312" w:cs="Arial"/>
          <w:b/>
          <w:bCs/>
          <w:kern w:val="0"/>
          <w:sz w:val="32"/>
          <w:szCs w:val="32"/>
        </w:rPr>
        <w:t>第四十七条</w:t>
      </w:r>
      <w:r>
        <w:rPr>
          <w:rFonts w:ascii="仿宋_GB2312" w:hAnsi="宋体" w:eastAsia="仿宋_GB2312" w:cs="Arial"/>
          <w:b/>
          <w:bCs/>
          <w:kern w:val="0"/>
          <w:sz w:val="32"/>
          <w:szCs w:val="32"/>
        </w:rPr>
        <w:t xml:space="preserve"> </w:t>
      </w:r>
      <w:r>
        <w:rPr>
          <w:rFonts w:hint="eastAsia" w:ascii="仿宋_GB2312" w:hAnsi="宋体" w:eastAsia="仿宋_GB2312" w:cs="Arial"/>
          <w:b w:val="0"/>
          <w:bCs w:val="0"/>
          <w:color w:val="auto"/>
          <w:kern w:val="0"/>
          <w:sz w:val="32"/>
          <w:szCs w:val="32"/>
        </w:rPr>
        <w:t>安全生产监督管理部门、生产经营单位应通过预案报备系统进行预案管理与备案登记。各级安全生产监督管理部门按照属地权限管理本辖区生产经营单位的应急预案和相关应急资源，查询、统计、分析、调度相关应急预案和各类应急资源。</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bCs/>
          <w:kern w:val="0"/>
          <w:sz w:val="32"/>
          <w:szCs w:val="32"/>
        </w:rPr>
        <w:t>第四十八条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本《细则》自印发之日起施行。原</w:t>
      </w:r>
      <w:r>
        <w:rPr>
          <w:rFonts w:ascii="仿宋_GB2312" w:hAnsi="宋体" w:eastAsia="仿宋_GB2312" w:cs="Arial"/>
          <w:kern w:val="0"/>
          <w:sz w:val="32"/>
          <w:szCs w:val="32"/>
        </w:rPr>
        <w:t>2012</w:t>
      </w:r>
      <w:r>
        <w:rPr>
          <w:rFonts w:hint="eastAsia" w:ascii="仿宋_GB2312" w:hAnsi="宋体" w:eastAsia="仿宋_GB2312" w:cs="Arial"/>
          <w:kern w:val="0"/>
          <w:sz w:val="32"/>
          <w:szCs w:val="32"/>
        </w:rPr>
        <w:t>年</w:t>
      </w:r>
      <w:r>
        <w:rPr>
          <w:rFonts w:ascii="仿宋_GB2312" w:hAnsi="宋体" w:eastAsia="仿宋_GB2312" w:cs="Arial"/>
          <w:kern w:val="0"/>
          <w:sz w:val="32"/>
          <w:szCs w:val="32"/>
        </w:rPr>
        <w:t>5</w:t>
      </w:r>
      <w:r>
        <w:rPr>
          <w:rFonts w:hint="eastAsia" w:ascii="仿宋_GB2312" w:hAnsi="宋体" w:eastAsia="仿宋_GB2312" w:cs="Arial"/>
          <w:kern w:val="0"/>
          <w:sz w:val="32"/>
          <w:szCs w:val="32"/>
        </w:rPr>
        <w:t>月</w:t>
      </w:r>
      <w:r>
        <w:rPr>
          <w:rFonts w:ascii="仿宋_GB2312" w:hAnsi="宋体" w:eastAsia="仿宋_GB2312" w:cs="Arial"/>
          <w:kern w:val="0"/>
          <w:sz w:val="32"/>
          <w:szCs w:val="32"/>
        </w:rPr>
        <w:t>15</w:t>
      </w:r>
      <w:r>
        <w:rPr>
          <w:rFonts w:hint="eastAsia" w:ascii="仿宋_GB2312" w:hAnsi="宋体" w:eastAsia="仿宋_GB2312" w:cs="Arial"/>
          <w:kern w:val="0"/>
          <w:sz w:val="32"/>
          <w:szCs w:val="32"/>
        </w:rPr>
        <w:t>日发布的《省安委会办公室关于印发〈湖北省〈生产安全事故应急预案管理办法〉实施细则〉的通知》（鄂安办〔</w:t>
      </w:r>
      <w:r>
        <w:rPr>
          <w:rFonts w:ascii="仿宋_GB2312" w:hAnsi="宋体" w:eastAsia="仿宋_GB2312" w:cs="Arial"/>
          <w:kern w:val="0"/>
          <w:sz w:val="32"/>
          <w:szCs w:val="32"/>
        </w:rPr>
        <w:t>2012</w:t>
      </w:r>
      <w:r>
        <w:rPr>
          <w:rFonts w:hint="eastAsia" w:ascii="仿宋_GB2312" w:hAnsi="宋体" w:eastAsia="仿宋_GB2312" w:cs="Arial"/>
          <w:kern w:val="0"/>
          <w:sz w:val="32"/>
          <w:szCs w:val="32"/>
        </w:rPr>
        <w:t>〕</w:t>
      </w:r>
      <w:r>
        <w:rPr>
          <w:rFonts w:ascii="仿宋_GB2312" w:hAnsi="宋体" w:eastAsia="仿宋_GB2312" w:cs="Arial"/>
          <w:kern w:val="0"/>
          <w:sz w:val="32"/>
          <w:szCs w:val="32"/>
        </w:rPr>
        <w:t>41</w:t>
      </w:r>
      <w:r>
        <w:rPr>
          <w:rFonts w:hint="eastAsia" w:ascii="仿宋_GB2312" w:hAnsi="宋体" w:eastAsia="仿宋_GB2312" w:cs="Arial"/>
          <w:kern w:val="0"/>
          <w:sz w:val="32"/>
          <w:szCs w:val="32"/>
        </w:rPr>
        <w:t>号）同时废止。</w:t>
      </w:r>
      <w:r>
        <w:rPr>
          <w:rFonts w:hint="eastAsia" w:ascii="仿宋_GB2312" w:hAnsi="宋体" w:eastAsia="仿宋_GB2312" w:cs="Arial"/>
          <w:b w:val="0"/>
          <w:bCs w:val="0"/>
          <w:kern w:val="0"/>
          <w:sz w:val="32"/>
          <w:szCs w:val="32"/>
        </w:rPr>
        <w:t>国家有关法律、法规、规章对生产安全事故应急预案管理另有规定的，依照其规定执行。</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企业分类标准、小微企业的认定执行《关于印发中小企业划型标准规定的通知》（工信部联企〔2011〕300号）。</w:t>
      </w:r>
    </w:p>
    <w:p>
      <w:pPr>
        <w:spacing w:line="560" w:lineRule="exact"/>
        <w:ind w:firstLine="640" w:firstLineChars="200"/>
        <w:rPr>
          <w:rFonts w:ascii="仿宋_GB2312" w:hAnsi="宋体" w:eastAsia="仿宋_GB2312" w:cs="Arial"/>
          <w:kern w:val="0"/>
          <w:sz w:val="32"/>
          <w:szCs w:val="32"/>
        </w:rPr>
      </w:pP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附件：</w:t>
      </w:r>
      <w:r>
        <w:rPr>
          <w:rFonts w:ascii="仿宋_GB2312" w:hAnsi="宋体" w:eastAsia="仿宋_GB2312" w:cs="Arial"/>
          <w:kern w:val="0"/>
          <w:sz w:val="32"/>
          <w:szCs w:val="32"/>
        </w:rPr>
        <w:t xml:space="preserve"> </w:t>
      </w:r>
    </w:p>
    <w:p>
      <w:pPr>
        <w:spacing w:line="560" w:lineRule="exact"/>
        <w:ind w:firstLine="1124" w:firstLineChars="350"/>
        <w:rPr>
          <w:rFonts w:ascii="仿宋_GB2312" w:hAnsi="宋体" w:eastAsia="仿宋_GB2312" w:cs="Arial"/>
          <w:kern w:val="0"/>
          <w:sz w:val="32"/>
          <w:szCs w:val="32"/>
        </w:rPr>
      </w:pPr>
      <w:r>
        <w:rPr>
          <w:rFonts w:hint="eastAsia" w:ascii="仿宋_GB2312" w:hAnsi="宋体" w:eastAsia="仿宋_GB2312" w:cs="Arial"/>
          <w:kern w:val="0"/>
          <w:sz w:val="32"/>
          <w:szCs w:val="32"/>
        </w:rPr>
        <w:t>1.</w:t>
      </w:r>
      <w:r>
        <w:rPr>
          <w:rFonts w:hint="eastAsia" w:ascii="仿宋_GB2312" w:hAnsi="宋体" w:eastAsia="仿宋_GB2312" w:cs="Arial"/>
          <w:kern w:val="0"/>
          <w:sz w:val="32"/>
          <w:szCs w:val="32"/>
          <w:u w:val="single"/>
        </w:rPr>
        <w:t>应急预案评审人员签到表</w:t>
      </w:r>
    </w:p>
    <w:p>
      <w:pPr>
        <w:spacing w:line="560" w:lineRule="exact"/>
        <w:ind w:firstLine="1120" w:firstLineChars="350"/>
        <w:rPr>
          <w:rFonts w:ascii="仿宋_GB2312" w:hAnsi="宋体" w:eastAsia="仿宋_GB2312" w:cs="Arial"/>
          <w:kern w:val="0"/>
          <w:sz w:val="32"/>
          <w:szCs w:val="32"/>
          <w:u w:val="single"/>
        </w:rPr>
      </w:pPr>
      <w:r>
        <w:rPr>
          <w:rFonts w:ascii="仿宋_GB2312" w:hAnsi="宋体" w:eastAsia="仿宋_GB2312" w:cs="Arial"/>
          <w:kern w:val="0"/>
          <w:sz w:val="32"/>
          <w:szCs w:val="32"/>
        </w:rPr>
        <w:t>2.</w:t>
      </w:r>
      <w:r>
        <w:rPr>
          <w:rFonts w:hint="eastAsia" w:ascii="仿宋_GB2312" w:hAnsi="宋体" w:eastAsia="仿宋_GB2312" w:cs="Arial"/>
          <w:kern w:val="0"/>
          <w:sz w:val="32"/>
          <w:szCs w:val="32"/>
        </w:rPr>
        <w:t>应急预案评审专家组意见表</w:t>
      </w:r>
    </w:p>
    <w:p>
      <w:pPr>
        <w:spacing w:line="560" w:lineRule="exact"/>
        <w:ind w:firstLine="1120" w:firstLineChars="350"/>
        <w:rPr>
          <w:rFonts w:ascii="仿宋_GB2312" w:hAnsi="宋体" w:eastAsia="仿宋_GB2312" w:cs="Arial"/>
          <w:kern w:val="0"/>
          <w:sz w:val="32"/>
          <w:szCs w:val="32"/>
        </w:rPr>
      </w:pPr>
      <w:r>
        <w:rPr>
          <w:rFonts w:ascii="仿宋_GB2312" w:hAnsi="宋体" w:eastAsia="仿宋_GB2312" w:cs="Arial"/>
          <w:kern w:val="0"/>
          <w:sz w:val="32"/>
          <w:szCs w:val="32"/>
        </w:rPr>
        <w:t>3.</w:t>
      </w:r>
      <w:r>
        <w:rPr>
          <w:rFonts w:hint="eastAsia" w:ascii="仿宋_GB2312" w:hAnsi="宋体" w:eastAsia="仿宋_GB2312" w:cs="Arial"/>
          <w:kern w:val="0"/>
          <w:sz w:val="32"/>
          <w:szCs w:val="32"/>
        </w:rPr>
        <w:t>生产经营单位生产安全事故应急预案备案申报表</w:t>
      </w:r>
    </w:p>
    <w:p>
      <w:pPr>
        <w:spacing w:line="560" w:lineRule="exact"/>
        <w:ind w:firstLine="1120" w:firstLineChars="350"/>
        <w:rPr>
          <w:rFonts w:ascii="仿宋_GB2312" w:hAnsi="宋体" w:eastAsia="仿宋_GB2312" w:cs="Arial"/>
          <w:kern w:val="0"/>
          <w:sz w:val="32"/>
          <w:szCs w:val="32"/>
        </w:rPr>
      </w:pPr>
      <w:r>
        <w:rPr>
          <w:rFonts w:ascii="仿宋_GB2312" w:hAnsi="宋体" w:eastAsia="仿宋_GB2312" w:cs="Arial"/>
          <w:kern w:val="0"/>
          <w:sz w:val="32"/>
          <w:szCs w:val="32"/>
        </w:rPr>
        <w:t>4.</w:t>
      </w:r>
      <w:r>
        <w:rPr>
          <w:rFonts w:hint="eastAsia" w:ascii="仿宋_GB2312" w:hAnsi="宋体" w:eastAsia="仿宋_GB2312" w:cs="Arial"/>
          <w:kern w:val="0"/>
          <w:sz w:val="32"/>
          <w:szCs w:val="32"/>
        </w:rPr>
        <w:t>生产经营单位生产安全事故应急预案备案登记表</w:t>
      </w: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r>
        <w:rPr>
          <w:rFonts w:ascii="宋体" w:hAnsi="宋体" w:eastAsia="仿宋_GB2312" w:cs="Arial"/>
          <w:kern w:val="0"/>
          <w:sz w:val="32"/>
          <w:szCs w:val="32"/>
        </w:rPr>
        <w:t>  </w:t>
      </w:r>
    </w:p>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left"/>
        <w:rPr>
          <w:rFonts w:ascii="黑体" w:hAnsi="黑体" w:eastAsia="黑体"/>
          <w:color w:val="4B15D1"/>
          <w:sz w:val="44"/>
          <w:szCs w:val="44"/>
        </w:rPr>
      </w:pPr>
      <w:r>
        <w:rPr>
          <w:rFonts w:ascii="黑体" w:hAnsi="黑体" w:eastAsia="黑体"/>
          <w:sz w:val="32"/>
          <w:szCs w:val="32"/>
        </w:rPr>
        <w:t xml:space="preserve">   </w:t>
      </w:r>
      <w:r>
        <w:rPr>
          <w:rFonts w:ascii="黑体" w:hAnsi="黑体" w:eastAsia="黑体"/>
          <w:sz w:val="44"/>
          <w:szCs w:val="44"/>
          <w:u w:val="single"/>
        </w:rPr>
        <w:t xml:space="preserve">                  </w:t>
      </w:r>
      <w:r>
        <w:rPr>
          <w:rFonts w:hint="eastAsia" w:ascii="黑体" w:hAnsi="黑体" w:eastAsia="黑体" w:cs="黑体"/>
          <w:kern w:val="0"/>
          <w:sz w:val="44"/>
          <w:szCs w:val="44"/>
        </w:rPr>
        <w:t>评审人员签到表</w:t>
      </w:r>
    </w:p>
    <w:p>
      <w:pPr>
        <w:spacing w:line="240" w:lineRule="exact"/>
        <w:jc w:val="center"/>
        <w:rPr>
          <w:rFonts w:ascii="宋体"/>
          <w:b/>
          <w:sz w:val="30"/>
          <w:szCs w:val="30"/>
        </w:rPr>
      </w:pPr>
    </w:p>
    <w:tbl>
      <w:tblPr>
        <w:tblStyle w:val="10"/>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6"/>
        <w:gridCol w:w="1134"/>
        <w:gridCol w:w="2347"/>
        <w:gridCol w:w="1560"/>
        <w:gridCol w:w="1559"/>
        <w:gridCol w:w="13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596" w:type="dxa"/>
            <w:vMerge w:val="restart"/>
            <w:tcBorders>
              <w:top w:val="single" w:color="auto" w:sz="12" w:space="0"/>
            </w:tcBorders>
            <w:vAlign w:val="center"/>
          </w:tcPr>
          <w:p>
            <w:pPr>
              <w:widowControl/>
              <w:jc w:val="center"/>
              <w:rPr>
                <w:rFonts w:ascii="宋体" w:cs="宋体"/>
                <w:b/>
                <w:kern w:val="0"/>
                <w:sz w:val="32"/>
                <w:szCs w:val="32"/>
              </w:rPr>
            </w:pPr>
            <w:r>
              <w:rPr>
                <w:rFonts w:hint="eastAsia" w:ascii="宋体" w:hAnsi="宋体" w:cs="宋体"/>
                <w:b/>
                <w:kern w:val="0"/>
                <w:sz w:val="32"/>
                <w:szCs w:val="32"/>
              </w:rPr>
              <w:t>评审组成人员</w:t>
            </w:r>
          </w:p>
          <w:p>
            <w:pPr>
              <w:widowControl/>
              <w:jc w:val="center"/>
              <w:rPr>
                <w:rFonts w:ascii="宋体" w:cs="宋体"/>
                <w:b/>
                <w:kern w:val="0"/>
                <w:sz w:val="32"/>
                <w:szCs w:val="32"/>
              </w:rPr>
            </w:pPr>
            <w:r>
              <w:rPr>
                <w:rFonts w:hint="eastAsia" w:ascii="宋体" w:hAnsi="宋体" w:cs="宋体"/>
                <w:b/>
                <w:kern w:val="0"/>
                <w:sz w:val="32"/>
                <w:szCs w:val="32"/>
              </w:rPr>
              <w:t>名</w:t>
            </w:r>
          </w:p>
          <w:p>
            <w:pPr>
              <w:jc w:val="center"/>
              <w:rPr>
                <w:rFonts w:ascii="仿宋" w:hAnsi="仿宋" w:eastAsia="仿宋"/>
              </w:rPr>
            </w:pPr>
            <w:r>
              <w:rPr>
                <w:rFonts w:hint="eastAsia" w:ascii="宋体" w:hAnsi="宋体" w:cs="宋体"/>
                <w:b/>
                <w:kern w:val="0"/>
                <w:sz w:val="32"/>
                <w:szCs w:val="32"/>
              </w:rPr>
              <w:t>单</w:t>
            </w:r>
          </w:p>
        </w:tc>
        <w:tc>
          <w:tcPr>
            <w:tcW w:w="1134" w:type="dxa"/>
            <w:tcBorders>
              <w:top w:val="single" w:color="auto" w:sz="12" w:space="0"/>
            </w:tcBorders>
            <w:vAlign w:val="center"/>
          </w:tcPr>
          <w:p>
            <w:pPr>
              <w:jc w:val="center"/>
              <w:rPr>
                <w:b/>
                <w:sz w:val="24"/>
              </w:rPr>
            </w:pPr>
            <w:r>
              <w:rPr>
                <w:rFonts w:hint="eastAsia"/>
                <w:b/>
                <w:sz w:val="24"/>
              </w:rPr>
              <w:t>姓名</w:t>
            </w:r>
          </w:p>
        </w:tc>
        <w:tc>
          <w:tcPr>
            <w:tcW w:w="2347" w:type="dxa"/>
            <w:tcBorders>
              <w:top w:val="single" w:color="auto" w:sz="12" w:space="0"/>
            </w:tcBorders>
            <w:vAlign w:val="center"/>
          </w:tcPr>
          <w:p>
            <w:pPr>
              <w:jc w:val="center"/>
              <w:rPr>
                <w:b/>
                <w:sz w:val="24"/>
              </w:rPr>
            </w:pPr>
            <w:r>
              <w:rPr>
                <w:rFonts w:hint="default"/>
                <w:b/>
                <w:color w:val="auto"/>
                <w:sz w:val="24"/>
              </w:rPr>
              <w:t>单</w:t>
            </w:r>
            <w:r>
              <w:rPr>
                <w:b/>
                <w:color w:val="auto"/>
                <w:sz w:val="24"/>
              </w:rPr>
              <w:t xml:space="preserve"> </w:t>
            </w:r>
            <w:r>
              <w:rPr>
                <w:rFonts w:hint="default"/>
                <w:b/>
                <w:color w:val="auto"/>
                <w:sz w:val="24"/>
              </w:rPr>
              <w:t>位/部门</w:t>
            </w:r>
          </w:p>
        </w:tc>
        <w:tc>
          <w:tcPr>
            <w:tcW w:w="1560" w:type="dxa"/>
            <w:tcBorders>
              <w:top w:val="single" w:color="auto" w:sz="12" w:space="0"/>
            </w:tcBorders>
            <w:vAlign w:val="center"/>
          </w:tcPr>
          <w:p>
            <w:pPr>
              <w:jc w:val="center"/>
              <w:rPr>
                <w:b/>
                <w:sz w:val="24"/>
              </w:rPr>
            </w:pPr>
            <w:r>
              <w:rPr>
                <w:rFonts w:hint="eastAsia"/>
                <w:b/>
                <w:sz w:val="24"/>
              </w:rPr>
              <w:t>职</w:t>
            </w:r>
            <w:r>
              <w:rPr>
                <w:b/>
                <w:sz w:val="24"/>
              </w:rPr>
              <w:t xml:space="preserve"> </w:t>
            </w:r>
            <w:r>
              <w:rPr>
                <w:rFonts w:hint="eastAsia"/>
                <w:b/>
                <w:sz w:val="24"/>
              </w:rPr>
              <w:t>称</w:t>
            </w:r>
            <w:r>
              <w:rPr>
                <w:b/>
                <w:sz w:val="24"/>
              </w:rPr>
              <w:t>/</w:t>
            </w:r>
            <w:r>
              <w:rPr>
                <w:rFonts w:hint="eastAsia"/>
                <w:b/>
                <w:sz w:val="24"/>
              </w:rPr>
              <w:t>职务</w:t>
            </w:r>
          </w:p>
        </w:tc>
        <w:tc>
          <w:tcPr>
            <w:tcW w:w="1559" w:type="dxa"/>
            <w:tcBorders>
              <w:top w:val="single" w:color="auto" w:sz="12" w:space="0"/>
            </w:tcBorders>
            <w:vAlign w:val="center"/>
          </w:tcPr>
          <w:p>
            <w:pPr>
              <w:jc w:val="center"/>
              <w:rPr>
                <w:b/>
                <w:color w:val="4B15D1"/>
                <w:sz w:val="24"/>
              </w:rPr>
            </w:pPr>
            <w:r>
              <w:rPr>
                <w:rFonts w:hint="eastAsia"/>
                <w:b/>
                <w:sz w:val="24"/>
              </w:rPr>
              <w:t>专</w:t>
            </w:r>
            <w:r>
              <w:rPr>
                <w:b/>
                <w:sz w:val="24"/>
              </w:rPr>
              <w:t xml:space="preserve"> </w:t>
            </w:r>
            <w:r>
              <w:rPr>
                <w:rFonts w:hint="eastAsia"/>
                <w:b/>
                <w:sz w:val="24"/>
              </w:rPr>
              <w:t>业</w:t>
            </w:r>
          </w:p>
        </w:tc>
        <w:tc>
          <w:tcPr>
            <w:tcW w:w="1332" w:type="dxa"/>
            <w:tcBorders>
              <w:top w:val="single" w:color="auto" w:sz="12" w:space="0"/>
            </w:tcBorders>
            <w:vAlign w:val="center"/>
          </w:tcPr>
          <w:p>
            <w:pPr>
              <w:jc w:val="center"/>
              <w:rPr>
                <w:b/>
                <w:sz w:val="24"/>
              </w:rPr>
            </w:pPr>
            <w:r>
              <w:rPr>
                <w:rFonts w:hint="eastAsia"/>
                <w:b/>
                <w:sz w:val="24"/>
              </w:rPr>
              <w:t>签</w:t>
            </w:r>
            <w:r>
              <w:rPr>
                <w:b/>
                <w:sz w:val="24"/>
              </w:rPr>
              <w:t xml:space="preserve"> </w:t>
            </w:r>
            <w:r>
              <w:rPr>
                <w:rFonts w:hint="eastAsia"/>
                <w:b/>
                <w:sz w:val="24"/>
              </w:rPr>
              <w:t>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4" w:hRule="atLeast"/>
          <w:jc w:val="center"/>
        </w:trPr>
        <w:tc>
          <w:tcPr>
            <w:tcW w:w="596" w:type="dxa"/>
            <w:vMerge w:val="continue"/>
            <w:vAlign w:val="center"/>
          </w:tcPr>
          <w:p>
            <w:pPr>
              <w:rPr>
                <w:rFonts w:ascii="仿宋" w:hAnsi="仿宋" w:eastAsia="仿宋"/>
              </w:rPr>
            </w:pPr>
          </w:p>
        </w:tc>
        <w:tc>
          <w:tcPr>
            <w:tcW w:w="1134" w:type="dxa"/>
            <w:vAlign w:val="center"/>
          </w:tcPr>
          <w:p>
            <w:pPr>
              <w:spacing w:line="600" w:lineRule="exact"/>
              <w:jc w:val="center"/>
              <w:rPr>
                <w:rFonts w:ascii="宋体"/>
                <w:b/>
                <w:sz w:val="24"/>
                <w:szCs w:val="24"/>
              </w:rPr>
            </w:pPr>
          </w:p>
        </w:tc>
        <w:tc>
          <w:tcPr>
            <w:tcW w:w="2347" w:type="dxa"/>
            <w:vAlign w:val="center"/>
          </w:tcPr>
          <w:p>
            <w:pPr>
              <w:spacing w:line="600" w:lineRule="exact"/>
              <w:jc w:val="center"/>
              <w:rPr>
                <w:rFonts w:ascii="宋体"/>
                <w:b/>
                <w:sz w:val="24"/>
                <w:szCs w:val="24"/>
              </w:rPr>
            </w:pPr>
          </w:p>
        </w:tc>
        <w:tc>
          <w:tcPr>
            <w:tcW w:w="1560" w:type="dxa"/>
            <w:vAlign w:val="center"/>
          </w:tcPr>
          <w:p>
            <w:pPr>
              <w:spacing w:line="600" w:lineRule="exact"/>
              <w:jc w:val="center"/>
              <w:rPr>
                <w:rFonts w:ascii="宋体"/>
                <w:b/>
                <w:sz w:val="24"/>
                <w:szCs w:val="24"/>
              </w:rPr>
            </w:pPr>
          </w:p>
        </w:tc>
        <w:tc>
          <w:tcPr>
            <w:tcW w:w="1559" w:type="dxa"/>
            <w:vAlign w:val="center"/>
          </w:tcPr>
          <w:p>
            <w:pPr>
              <w:spacing w:line="560" w:lineRule="exact"/>
              <w:ind w:firstLine="640" w:firstLineChars="200"/>
              <w:jc w:val="both"/>
              <w:rPr>
                <w:rFonts w:ascii="宋体" w:hAnsi="宋体" w:eastAsia="仿宋_GB2312" w:cs="Arial"/>
                <w:b w:val="0"/>
                <w:kern w:val="0"/>
                <w:sz w:val="32"/>
                <w:szCs w:val="32"/>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jc w:val="center"/>
        </w:trPr>
        <w:tc>
          <w:tcPr>
            <w:tcW w:w="596" w:type="dxa"/>
            <w:vMerge w:val="continue"/>
            <w:vAlign w:val="center"/>
          </w:tcPr>
          <w:p>
            <w:pPr>
              <w:rPr>
                <w:rFonts w:ascii="仿宋" w:hAnsi="仿宋" w:eastAsia="仿宋"/>
              </w:rPr>
            </w:pPr>
          </w:p>
        </w:tc>
        <w:tc>
          <w:tcPr>
            <w:tcW w:w="1134" w:type="dxa"/>
            <w:vAlign w:val="center"/>
          </w:tcPr>
          <w:p>
            <w:pPr>
              <w:spacing w:line="600" w:lineRule="exact"/>
              <w:jc w:val="center"/>
              <w:rPr>
                <w:rFonts w:ascii="宋体"/>
                <w:b/>
                <w:sz w:val="24"/>
                <w:szCs w:val="24"/>
              </w:rPr>
            </w:pPr>
          </w:p>
        </w:tc>
        <w:tc>
          <w:tcPr>
            <w:tcW w:w="2347" w:type="dxa"/>
            <w:vAlign w:val="center"/>
          </w:tcPr>
          <w:p>
            <w:pPr>
              <w:spacing w:line="500" w:lineRule="exact"/>
              <w:jc w:val="center"/>
              <w:rPr>
                <w:rFonts w:ascii="宋体"/>
                <w:b/>
                <w:sz w:val="24"/>
                <w:szCs w:val="24"/>
              </w:rPr>
            </w:pPr>
          </w:p>
        </w:tc>
        <w:tc>
          <w:tcPr>
            <w:tcW w:w="1560" w:type="dxa"/>
            <w:vAlign w:val="center"/>
          </w:tcPr>
          <w:p>
            <w:pPr>
              <w:spacing w:line="600" w:lineRule="exact"/>
              <w:jc w:val="center"/>
              <w:rPr>
                <w:rFonts w:ascii="宋体"/>
                <w:b/>
                <w:sz w:val="24"/>
                <w:szCs w:val="24"/>
              </w:rPr>
            </w:pPr>
          </w:p>
        </w:tc>
        <w:tc>
          <w:tcPr>
            <w:tcW w:w="1559" w:type="dxa"/>
            <w:vAlign w:val="center"/>
          </w:tcPr>
          <w:p>
            <w:pPr>
              <w:spacing w:line="60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2" w:hRule="atLeast"/>
          <w:jc w:val="center"/>
        </w:trPr>
        <w:tc>
          <w:tcPr>
            <w:tcW w:w="596" w:type="dxa"/>
            <w:vMerge w:val="continue"/>
            <w:vAlign w:val="center"/>
          </w:tcPr>
          <w:p>
            <w:pPr>
              <w:rPr>
                <w:rFonts w:ascii="仿宋" w:hAnsi="仿宋" w:eastAsia="仿宋"/>
              </w:rPr>
            </w:pPr>
          </w:p>
        </w:tc>
        <w:tc>
          <w:tcPr>
            <w:tcW w:w="1134" w:type="dxa"/>
            <w:vAlign w:val="center"/>
          </w:tcPr>
          <w:p>
            <w:pPr>
              <w:spacing w:line="600" w:lineRule="exact"/>
              <w:jc w:val="center"/>
              <w:rPr>
                <w:rFonts w:ascii="宋体"/>
                <w:b/>
                <w:sz w:val="24"/>
                <w:szCs w:val="24"/>
              </w:rPr>
            </w:pPr>
          </w:p>
        </w:tc>
        <w:tc>
          <w:tcPr>
            <w:tcW w:w="2347" w:type="dxa"/>
            <w:vAlign w:val="center"/>
          </w:tcPr>
          <w:p>
            <w:pPr>
              <w:spacing w:line="600" w:lineRule="exact"/>
              <w:jc w:val="center"/>
              <w:rPr>
                <w:rFonts w:ascii="宋体"/>
                <w:b/>
                <w:sz w:val="24"/>
                <w:szCs w:val="24"/>
              </w:rPr>
            </w:pPr>
          </w:p>
        </w:tc>
        <w:tc>
          <w:tcPr>
            <w:tcW w:w="1560" w:type="dxa"/>
            <w:vAlign w:val="center"/>
          </w:tcPr>
          <w:p>
            <w:pPr>
              <w:spacing w:line="600" w:lineRule="exact"/>
              <w:jc w:val="center"/>
              <w:rPr>
                <w:rFonts w:ascii="宋体"/>
                <w:b/>
                <w:sz w:val="24"/>
                <w:szCs w:val="24"/>
              </w:rPr>
            </w:pPr>
          </w:p>
        </w:tc>
        <w:tc>
          <w:tcPr>
            <w:tcW w:w="1559" w:type="dxa"/>
            <w:vAlign w:val="center"/>
          </w:tcPr>
          <w:p>
            <w:pPr>
              <w:spacing w:line="60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2" w:hRule="atLeast"/>
          <w:jc w:val="center"/>
        </w:trPr>
        <w:tc>
          <w:tcPr>
            <w:tcW w:w="596" w:type="dxa"/>
            <w:vMerge w:val="continue"/>
            <w:vAlign w:val="center"/>
          </w:tcPr>
          <w:p>
            <w:pPr>
              <w:rPr>
                <w:rFonts w:ascii="仿宋" w:hAnsi="仿宋" w:eastAsia="仿宋"/>
              </w:rPr>
            </w:pPr>
          </w:p>
        </w:tc>
        <w:tc>
          <w:tcPr>
            <w:tcW w:w="1134" w:type="dxa"/>
            <w:vAlign w:val="center"/>
          </w:tcPr>
          <w:p>
            <w:pPr>
              <w:spacing w:line="560" w:lineRule="exact"/>
              <w:jc w:val="center"/>
              <w:rPr>
                <w:rFonts w:ascii="宋体"/>
                <w:b/>
                <w:sz w:val="24"/>
                <w:szCs w:val="24"/>
              </w:rPr>
            </w:pPr>
          </w:p>
        </w:tc>
        <w:tc>
          <w:tcPr>
            <w:tcW w:w="2347" w:type="dxa"/>
            <w:vAlign w:val="center"/>
          </w:tcPr>
          <w:p>
            <w:pPr>
              <w:spacing w:line="560" w:lineRule="exact"/>
              <w:jc w:val="center"/>
              <w:rPr>
                <w:rFonts w:ascii="宋体"/>
                <w:b/>
                <w:sz w:val="24"/>
                <w:szCs w:val="24"/>
              </w:rPr>
            </w:pPr>
          </w:p>
        </w:tc>
        <w:tc>
          <w:tcPr>
            <w:tcW w:w="1560" w:type="dxa"/>
            <w:vAlign w:val="center"/>
          </w:tcPr>
          <w:p>
            <w:pPr>
              <w:spacing w:line="400" w:lineRule="exact"/>
              <w:rPr>
                <w:rFonts w:ascii="宋体"/>
                <w:b/>
                <w:sz w:val="24"/>
                <w:szCs w:val="24"/>
              </w:rPr>
            </w:pPr>
          </w:p>
        </w:tc>
        <w:tc>
          <w:tcPr>
            <w:tcW w:w="1559" w:type="dxa"/>
            <w:vAlign w:val="center"/>
          </w:tcPr>
          <w:p>
            <w:pPr>
              <w:spacing w:line="56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2" w:hRule="atLeast"/>
          <w:jc w:val="center"/>
        </w:trPr>
        <w:tc>
          <w:tcPr>
            <w:tcW w:w="596" w:type="dxa"/>
            <w:vMerge w:val="continue"/>
            <w:vAlign w:val="center"/>
          </w:tcPr>
          <w:p>
            <w:pPr>
              <w:rPr>
                <w:rFonts w:ascii="仿宋" w:hAnsi="仿宋" w:eastAsia="仿宋"/>
              </w:rPr>
            </w:pPr>
          </w:p>
        </w:tc>
        <w:tc>
          <w:tcPr>
            <w:tcW w:w="1134" w:type="dxa"/>
            <w:vAlign w:val="center"/>
          </w:tcPr>
          <w:p>
            <w:pPr>
              <w:spacing w:line="560" w:lineRule="exact"/>
              <w:jc w:val="center"/>
              <w:rPr>
                <w:rFonts w:ascii="宋体"/>
                <w:b/>
                <w:sz w:val="24"/>
                <w:szCs w:val="24"/>
              </w:rPr>
            </w:pPr>
          </w:p>
        </w:tc>
        <w:tc>
          <w:tcPr>
            <w:tcW w:w="2347" w:type="dxa"/>
            <w:vAlign w:val="center"/>
          </w:tcPr>
          <w:p>
            <w:pPr>
              <w:spacing w:line="560" w:lineRule="exact"/>
              <w:jc w:val="center"/>
              <w:rPr>
                <w:rFonts w:ascii="宋体"/>
                <w:b/>
                <w:sz w:val="24"/>
                <w:szCs w:val="24"/>
              </w:rPr>
            </w:pPr>
          </w:p>
        </w:tc>
        <w:tc>
          <w:tcPr>
            <w:tcW w:w="1560" w:type="dxa"/>
            <w:vAlign w:val="center"/>
          </w:tcPr>
          <w:p>
            <w:pPr>
              <w:spacing w:line="400" w:lineRule="exact"/>
              <w:ind w:firstLine="120" w:firstLineChars="50"/>
              <w:rPr>
                <w:rFonts w:ascii="宋体"/>
                <w:b/>
                <w:sz w:val="24"/>
                <w:szCs w:val="24"/>
              </w:rPr>
            </w:pPr>
          </w:p>
        </w:tc>
        <w:tc>
          <w:tcPr>
            <w:tcW w:w="1559" w:type="dxa"/>
            <w:vAlign w:val="center"/>
          </w:tcPr>
          <w:p>
            <w:pPr>
              <w:spacing w:line="56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宋体"/>
                <w:b/>
                <w:sz w:val="24"/>
                <w:szCs w:val="24"/>
              </w:rPr>
            </w:pPr>
          </w:p>
        </w:tc>
        <w:tc>
          <w:tcPr>
            <w:tcW w:w="2347" w:type="dxa"/>
            <w:vAlign w:val="center"/>
          </w:tcPr>
          <w:p>
            <w:pPr>
              <w:rPr>
                <w:rFonts w:ascii="宋体"/>
                <w:b/>
                <w:sz w:val="24"/>
                <w:szCs w:val="24"/>
              </w:rPr>
            </w:pPr>
          </w:p>
        </w:tc>
        <w:tc>
          <w:tcPr>
            <w:tcW w:w="1560" w:type="dxa"/>
            <w:vAlign w:val="center"/>
          </w:tcPr>
          <w:p>
            <w:pPr>
              <w:rPr>
                <w:rFonts w:ascii="宋体"/>
                <w:b/>
                <w:sz w:val="24"/>
                <w:szCs w:val="24"/>
              </w:rPr>
            </w:pPr>
          </w:p>
        </w:tc>
        <w:tc>
          <w:tcPr>
            <w:tcW w:w="1559" w:type="dxa"/>
            <w:vAlign w:val="center"/>
          </w:tcPr>
          <w:p>
            <w:pPr>
              <w:rPr>
                <w:rFonts w:ascii="宋体"/>
                <w:b/>
                <w:sz w:val="24"/>
                <w:szCs w:val="24"/>
              </w:rPr>
            </w:pPr>
          </w:p>
        </w:tc>
        <w:tc>
          <w:tcPr>
            <w:tcW w:w="1332" w:type="dxa"/>
            <w:vAlign w:val="center"/>
          </w:tcPr>
          <w:p>
            <w:pPr>
              <w:spacing w:line="720" w:lineRule="auto"/>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宋体"/>
                <w:b/>
                <w:sz w:val="24"/>
                <w:szCs w:val="24"/>
              </w:rPr>
            </w:pPr>
          </w:p>
        </w:tc>
        <w:tc>
          <w:tcPr>
            <w:tcW w:w="2347" w:type="dxa"/>
            <w:vAlign w:val="center"/>
          </w:tcPr>
          <w:p>
            <w:pPr>
              <w:rPr>
                <w:rFonts w:ascii="宋体"/>
                <w:b/>
                <w:sz w:val="24"/>
                <w:szCs w:val="24"/>
              </w:rPr>
            </w:pPr>
          </w:p>
        </w:tc>
        <w:tc>
          <w:tcPr>
            <w:tcW w:w="1560" w:type="dxa"/>
            <w:vAlign w:val="center"/>
          </w:tcPr>
          <w:p>
            <w:pPr>
              <w:rPr>
                <w:rFonts w:ascii="宋体"/>
                <w:b/>
                <w:sz w:val="24"/>
                <w:szCs w:val="24"/>
              </w:rPr>
            </w:pPr>
          </w:p>
        </w:tc>
        <w:tc>
          <w:tcPr>
            <w:tcW w:w="1559" w:type="dxa"/>
            <w:vAlign w:val="center"/>
          </w:tcPr>
          <w:p>
            <w:pPr>
              <w:rPr>
                <w:rFonts w:ascii="宋体"/>
                <w:b/>
                <w:sz w:val="24"/>
                <w:szCs w:val="24"/>
              </w:rPr>
            </w:pPr>
          </w:p>
        </w:tc>
        <w:tc>
          <w:tcPr>
            <w:tcW w:w="1332" w:type="dxa"/>
            <w:vAlign w:val="center"/>
          </w:tcPr>
          <w:p>
            <w:pPr>
              <w:spacing w:line="720" w:lineRule="auto"/>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仿宋" w:hAnsi="仿宋" w:eastAsia="仿宋"/>
                <w:sz w:val="28"/>
                <w:szCs w:val="28"/>
              </w:rPr>
            </w:pPr>
          </w:p>
        </w:tc>
        <w:tc>
          <w:tcPr>
            <w:tcW w:w="2347" w:type="dxa"/>
            <w:vAlign w:val="center"/>
          </w:tcPr>
          <w:p>
            <w:pPr>
              <w:rPr>
                <w:rFonts w:ascii="仿宋" w:hAnsi="仿宋" w:eastAsia="仿宋"/>
                <w:sz w:val="32"/>
                <w:szCs w:val="32"/>
              </w:rPr>
            </w:pPr>
          </w:p>
        </w:tc>
        <w:tc>
          <w:tcPr>
            <w:tcW w:w="1560" w:type="dxa"/>
            <w:vAlign w:val="center"/>
          </w:tcPr>
          <w:p>
            <w:pPr>
              <w:rPr>
                <w:rFonts w:ascii="仿宋" w:hAnsi="仿宋" w:eastAsia="仿宋"/>
                <w:sz w:val="28"/>
                <w:szCs w:val="28"/>
              </w:rPr>
            </w:pPr>
          </w:p>
        </w:tc>
        <w:tc>
          <w:tcPr>
            <w:tcW w:w="1559" w:type="dxa"/>
            <w:vAlign w:val="center"/>
          </w:tcPr>
          <w:p>
            <w:pPr>
              <w:rPr>
                <w:rFonts w:ascii="仿宋" w:hAnsi="仿宋" w:eastAsia="仿宋"/>
                <w:sz w:val="24"/>
              </w:rPr>
            </w:pPr>
          </w:p>
        </w:tc>
        <w:tc>
          <w:tcPr>
            <w:tcW w:w="1332" w:type="dxa"/>
            <w:vAlign w:val="center"/>
          </w:tcPr>
          <w:p>
            <w:pPr>
              <w:spacing w:line="720" w:lineRule="auto"/>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仿宋" w:hAnsi="仿宋" w:eastAsia="仿宋"/>
                <w:sz w:val="28"/>
                <w:szCs w:val="28"/>
              </w:rPr>
            </w:pPr>
          </w:p>
        </w:tc>
        <w:tc>
          <w:tcPr>
            <w:tcW w:w="2347" w:type="dxa"/>
            <w:vAlign w:val="center"/>
          </w:tcPr>
          <w:p>
            <w:pPr>
              <w:rPr>
                <w:rFonts w:ascii="仿宋" w:hAnsi="仿宋" w:eastAsia="仿宋"/>
                <w:sz w:val="32"/>
                <w:szCs w:val="32"/>
              </w:rPr>
            </w:pPr>
          </w:p>
        </w:tc>
        <w:tc>
          <w:tcPr>
            <w:tcW w:w="1560" w:type="dxa"/>
            <w:vAlign w:val="center"/>
          </w:tcPr>
          <w:p>
            <w:pPr>
              <w:rPr>
                <w:rFonts w:ascii="仿宋" w:hAnsi="仿宋" w:eastAsia="仿宋"/>
                <w:sz w:val="28"/>
                <w:szCs w:val="28"/>
              </w:rPr>
            </w:pPr>
          </w:p>
        </w:tc>
        <w:tc>
          <w:tcPr>
            <w:tcW w:w="1559" w:type="dxa"/>
            <w:vAlign w:val="center"/>
          </w:tcPr>
          <w:p>
            <w:pPr>
              <w:rPr>
                <w:rFonts w:ascii="仿宋" w:hAnsi="仿宋" w:eastAsia="仿宋"/>
                <w:sz w:val="24"/>
              </w:rPr>
            </w:pPr>
          </w:p>
        </w:tc>
        <w:tc>
          <w:tcPr>
            <w:tcW w:w="1332" w:type="dxa"/>
            <w:vAlign w:val="center"/>
          </w:tcPr>
          <w:p>
            <w:pPr>
              <w:spacing w:line="720" w:lineRule="auto"/>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tcBorders>
              <w:bottom w:val="single" w:color="auto" w:sz="12" w:space="0"/>
            </w:tcBorders>
            <w:vAlign w:val="center"/>
          </w:tcPr>
          <w:p>
            <w:pPr>
              <w:rPr>
                <w:rFonts w:ascii="仿宋" w:hAnsi="仿宋" w:eastAsia="仿宋"/>
              </w:rPr>
            </w:pPr>
          </w:p>
        </w:tc>
        <w:tc>
          <w:tcPr>
            <w:tcW w:w="1134" w:type="dxa"/>
            <w:tcBorders>
              <w:bottom w:val="single" w:color="auto" w:sz="12" w:space="0"/>
            </w:tcBorders>
            <w:vAlign w:val="center"/>
          </w:tcPr>
          <w:p>
            <w:pPr>
              <w:rPr>
                <w:rFonts w:ascii="仿宋" w:hAnsi="仿宋" w:eastAsia="仿宋"/>
                <w:sz w:val="28"/>
                <w:szCs w:val="28"/>
              </w:rPr>
            </w:pPr>
          </w:p>
        </w:tc>
        <w:tc>
          <w:tcPr>
            <w:tcW w:w="2347" w:type="dxa"/>
            <w:tcBorders>
              <w:bottom w:val="single" w:color="auto" w:sz="12" w:space="0"/>
            </w:tcBorders>
            <w:vAlign w:val="center"/>
          </w:tcPr>
          <w:p>
            <w:pPr>
              <w:rPr>
                <w:rFonts w:ascii="仿宋" w:hAnsi="仿宋" w:eastAsia="仿宋"/>
                <w:sz w:val="32"/>
                <w:szCs w:val="32"/>
              </w:rPr>
            </w:pPr>
          </w:p>
        </w:tc>
        <w:tc>
          <w:tcPr>
            <w:tcW w:w="1560" w:type="dxa"/>
            <w:tcBorders>
              <w:bottom w:val="single" w:color="auto" w:sz="12" w:space="0"/>
            </w:tcBorders>
            <w:vAlign w:val="center"/>
          </w:tcPr>
          <w:p>
            <w:pPr>
              <w:rPr>
                <w:rFonts w:ascii="仿宋" w:hAnsi="仿宋" w:eastAsia="仿宋"/>
                <w:sz w:val="28"/>
                <w:szCs w:val="28"/>
              </w:rPr>
            </w:pPr>
          </w:p>
        </w:tc>
        <w:tc>
          <w:tcPr>
            <w:tcW w:w="1559" w:type="dxa"/>
            <w:tcBorders>
              <w:bottom w:val="single" w:color="auto" w:sz="12" w:space="0"/>
            </w:tcBorders>
            <w:vAlign w:val="center"/>
          </w:tcPr>
          <w:p>
            <w:pPr>
              <w:rPr>
                <w:rFonts w:ascii="仿宋" w:hAnsi="仿宋" w:eastAsia="仿宋"/>
                <w:sz w:val="24"/>
              </w:rPr>
            </w:pPr>
          </w:p>
        </w:tc>
        <w:tc>
          <w:tcPr>
            <w:tcW w:w="1332" w:type="dxa"/>
            <w:tcBorders>
              <w:bottom w:val="single" w:color="auto" w:sz="12" w:space="0"/>
            </w:tcBorders>
            <w:vAlign w:val="center"/>
          </w:tcPr>
          <w:p>
            <w:pPr>
              <w:spacing w:line="720" w:lineRule="auto"/>
              <w:rPr>
                <w:rFonts w:ascii="仿宋" w:hAnsi="仿宋" w:eastAsia="仿宋"/>
                <w:sz w:val="32"/>
                <w:szCs w:val="32"/>
              </w:rPr>
            </w:pPr>
          </w:p>
        </w:tc>
      </w:tr>
    </w:tbl>
    <w:p/>
    <w:p>
      <w:pPr>
        <w:rPr>
          <w:rFonts w:ascii="仿宋_GB2312" w:hAnsi="宋体" w:eastAsia="仿宋_GB2312" w:cs="Arial"/>
          <w:kern w:val="0"/>
          <w:sz w:val="32"/>
          <w:szCs w:val="32"/>
        </w:rPr>
      </w:pPr>
    </w:p>
    <w:p>
      <w:pPr>
        <w:widowControl/>
        <w:jc w:val="left"/>
        <w:rPr>
          <w:rFonts w:ascii="宋体" w:hAnsi="宋体" w:eastAsia="仿宋_GB2312" w:cs="Arial"/>
          <w:kern w:val="0"/>
          <w:sz w:val="32"/>
          <w:szCs w:val="32"/>
        </w:rPr>
      </w:pPr>
    </w:p>
    <w:p>
      <w:pPr>
        <w:widowControl/>
        <w:jc w:val="left"/>
        <w:rPr>
          <w:rFonts w:ascii="宋体" w:hAnsi="宋体" w:eastAsia="仿宋_GB2312" w:cs="Arial"/>
          <w:kern w:val="0"/>
          <w:sz w:val="32"/>
          <w:szCs w:val="32"/>
        </w:rPr>
      </w:pPr>
    </w:p>
    <w:p>
      <w:pPr>
        <w:spacing w:line="560" w:lineRule="exact"/>
        <w:rPr>
          <w:rFonts w:ascii="黑体" w:hAnsi="黑体" w:eastAsia="黑体" w:cs="Arial"/>
          <w:kern w:val="0"/>
          <w:sz w:val="32"/>
          <w:szCs w:val="32"/>
        </w:rPr>
      </w:pPr>
      <w:r>
        <w:rPr>
          <w:rFonts w:hint="eastAsia" w:ascii="黑体" w:hAnsi="黑体" w:eastAsia="黑体" w:cs="Arial"/>
          <w:kern w:val="0"/>
          <w:sz w:val="32"/>
          <w:szCs w:val="32"/>
        </w:rPr>
        <w:t>附件2</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应急预案评审专家组意见表</w:t>
      </w:r>
    </w:p>
    <w:p>
      <w:pPr>
        <w:spacing w:line="240" w:lineRule="exact"/>
        <w:jc w:val="center"/>
        <w:rPr>
          <w:rFonts w:ascii="宋体"/>
          <w:b/>
          <w:sz w:val="32"/>
          <w:szCs w:val="32"/>
        </w:rPr>
      </w:pPr>
    </w:p>
    <w:tbl>
      <w:tblPr>
        <w:tblStyle w:val="10"/>
        <w:tblW w:w="852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85"/>
        <w:gridCol w:w="641"/>
        <w:gridCol w:w="3548"/>
        <w:gridCol w:w="1559"/>
        <w:gridCol w:w="18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tcBorders>
              <w:top w:val="single" w:color="000000" w:sz="12" w:space="0"/>
            </w:tcBorders>
            <w:vAlign w:val="center"/>
          </w:tcPr>
          <w:p>
            <w:pPr>
              <w:ind w:firstLine="118" w:firstLineChars="49"/>
              <w:jc w:val="left"/>
              <w:rPr>
                <w:rFonts w:ascii="宋体"/>
                <w:b/>
                <w:bCs/>
                <w:sz w:val="24"/>
                <w:szCs w:val="24"/>
              </w:rPr>
            </w:pPr>
            <w:r>
              <w:rPr>
                <w:rFonts w:hint="eastAsia" w:ascii="宋体" w:hAnsi="宋体"/>
                <w:b/>
                <w:bCs/>
                <w:sz w:val="24"/>
                <w:szCs w:val="24"/>
              </w:rPr>
              <w:t>企业名称</w:t>
            </w:r>
          </w:p>
        </w:tc>
        <w:tc>
          <w:tcPr>
            <w:tcW w:w="7002" w:type="dxa"/>
            <w:gridSpan w:val="3"/>
            <w:tcBorders>
              <w:top w:val="single" w:color="000000" w:sz="12" w:space="0"/>
            </w:tcBorders>
            <w:vAlign w:val="center"/>
          </w:tcPr>
          <w:p>
            <w:pPr>
              <w:jc w:val="left"/>
              <w:rPr>
                <w:rFonts w:ascii="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预案名称</w:t>
            </w:r>
          </w:p>
        </w:tc>
        <w:tc>
          <w:tcPr>
            <w:tcW w:w="3548" w:type="dxa"/>
            <w:vAlign w:val="center"/>
          </w:tcPr>
          <w:p>
            <w:pPr>
              <w:jc w:val="center"/>
              <w:rPr>
                <w:rFonts w:ascii="宋体"/>
                <w:b/>
                <w:bCs/>
                <w:sz w:val="24"/>
                <w:szCs w:val="24"/>
              </w:rPr>
            </w:pPr>
          </w:p>
        </w:tc>
        <w:tc>
          <w:tcPr>
            <w:tcW w:w="1559" w:type="dxa"/>
            <w:vAlign w:val="center"/>
          </w:tcPr>
          <w:p>
            <w:pPr>
              <w:jc w:val="center"/>
              <w:rPr>
                <w:rFonts w:ascii="宋体"/>
                <w:b/>
                <w:bCs/>
                <w:sz w:val="24"/>
                <w:szCs w:val="24"/>
              </w:rPr>
            </w:pPr>
            <w:r>
              <w:rPr>
                <w:rFonts w:hint="eastAsia" w:ascii="宋体" w:hAnsi="宋体"/>
                <w:b/>
                <w:bCs/>
                <w:sz w:val="24"/>
                <w:szCs w:val="24"/>
              </w:rPr>
              <w:t>预案类别</w:t>
            </w:r>
          </w:p>
        </w:tc>
        <w:tc>
          <w:tcPr>
            <w:tcW w:w="1895" w:type="dxa"/>
            <w:vAlign w:val="center"/>
          </w:tcPr>
          <w:p>
            <w:pPr>
              <w:jc w:val="center"/>
              <w:rPr>
                <w:rFonts w:ascii="宋体"/>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评审依据</w:t>
            </w:r>
          </w:p>
        </w:tc>
        <w:tc>
          <w:tcPr>
            <w:tcW w:w="7002" w:type="dxa"/>
            <w:gridSpan w:val="3"/>
            <w:vAlign w:val="center"/>
          </w:tcPr>
          <w:p>
            <w:pPr>
              <w:jc w:val="center"/>
              <w:rPr>
                <w:rFonts w:ascii="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评审方式</w:t>
            </w:r>
          </w:p>
        </w:tc>
        <w:tc>
          <w:tcPr>
            <w:tcW w:w="7002" w:type="dxa"/>
            <w:gridSpan w:val="3"/>
            <w:vAlign w:val="center"/>
          </w:tcPr>
          <w:p>
            <w:pPr>
              <w:jc w:val="center"/>
              <w:rPr>
                <w:rFonts w:ascii="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评审时间</w:t>
            </w:r>
          </w:p>
        </w:tc>
        <w:tc>
          <w:tcPr>
            <w:tcW w:w="3548" w:type="dxa"/>
            <w:vAlign w:val="center"/>
          </w:tcPr>
          <w:p>
            <w:pPr>
              <w:jc w:val="center"/>
              <w:rPr>
                <w:rFonts w:ascii="宋体"/>
                <w:b/>
                <w:bCs/>
                <w:sz w:val="24"/>
                <w:szCs w:val="24"/>
              </w:rPr>
            </w:pPr>
          </w:p>
        </w:tc>
        <w:tc>
          <w:tcPr>
            <w:tcW w:w="1559" w:type="dxa"/>
            <w:vAlign w:val="center"/>
          </w:tcPr>
          <w:p>
            <w:pPr>
              <w:jc w:val="center"/>
              <w:rPr>
                <w:rFonts w:ascii="宋体"/>
                <w:b/>
                <w:bCs/>
                <w:sz w:val="24"/>
                <w:szCs w:val="24"/>
              </w:rPr>
            </w:pPr>
            <w:r>
              <w:rPr>
                <w:rFonts w:hint="eastAsia" w:ascii="宋体" w:hAnsi="宋体"/>
                <w:b/>
                <w:bCs/>
                <w:sz w:val="24"/>
                <w:szCs w:val="24"/>
              </w:rPr>
              <w:t>评审地点</w:t>
            </w:r>
          </w:p>
        </w:tc>
        <w:tc>
          <w:tcPr>
            <w:tcW w:w="1895" w:type="dxa"/>
            <w:vAlign w:val="center"/>
          </w:tcPr>
          <w:p>
            <w:pPr>
              <w:jc w:val="center"/>
              <w:rPr>
                <w:rFonts w:ascii="宋体"/>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788" w:hRule="atLeast"/>
          <w:jc w:val="center"/>
        </w:trPr>
        <w:tc>
          <w:tcPr>
            <w:tcW w:w="885" w:type="dxa"/>
            <w:vAlign w:val="center"/>
          </w:tcPr>
          <w:p>
            <w:pPr>
              <w:jc w:val="center"/>
              <w:rPr>
                <w:rFonts w:ascii="宋体"/>
                <w:b/>
                <w:bCs/>
                <w:sz w:val="24"/>
              </w:rPr>
            </w:pPr>
            <w:r>
              <w:rPr>
                <w:rFonts w:hint="eastAsia" w:ascii="宋体" w:hAnsi="宋体"/>
                <w:b/>
                <w:bCs/>
                <w:sz w:val="24"/>
              </w:rPr>
              <w:t>评</w:t>
            </w:r>
          </w:p>
          <w:p>
            <w:pPr>
              <w:jc w:val="center"/>
              <w:rPr>
                <w:rFonts w:ascii="宋体"/>
                <w:b/>
                <w:bCs/>
                <w:sz w:val="24"/>
              </w:rPr>
            </w:pPr>
            <w:r>
              <w:rPr>
                <w:rFonts w:hint="eastAsia" w:ascii="宋体" w:hAnsi="宋体"/>
                <w:b/>
                <w:bCs/>
                <w:sz w:val="24"/>
              </w:rPr>
              <w:t>审</w:t>
            </w:r>
          </w:p>
          <w:p>
            <w:pPr>
              <w:jc w:val="center"/>
              <w:rPr>
                <w:rFonts w:ascii="宋体"/>
                <w:b/>
                <w:bCs/>
                <w:sz w:val="24"/>
              </w:rPr>
            </w:pPr>
            <w:r>
              <w:rPr>
                <w:rFonts w:hint="eastAsia" w:ascii="宋体" w:hAnsi="宋体"/>
                <w:b/>
                <w:bCs/>
                <w:sz w:val="24"/>
              </w:rPr>
              <w:t>内</w:t>
            </w:r>
          </w:p>
          <w:p>
            <w:pPr>
              <w:jc w:val="center"/>
              <w:rPr>
                <w:rFonts w:ascii="宋体"/>
                <w:sz w:val="24"/>
              </w:rPr>
            </w:pPr>
            <w:r>
              <w:rPr>
                <w:rFonts w:hint="eastAsia" w:ascii="宋体" w:hAnsi="宋体"/>
                <w:b/>
                <w:bCs/>
                <w:sz w:val="24"/>
              </w:rPr>
              <w:t>容</w:t>
            </w:r>
          </w:p>
        </w:tc>
        <w:tc>
          <w:tcPr>
            <w:tcW w:w="7643" w:type="dxa"/>
            <w:gridSpan w:val="4"/>
            <w:vAlign w:val="top"/>
          </w:tcPr>
          <w:p>
            <w:pPr>
              <w:jc w:val="left"/>
              <w:rPr>
                <w:rFonts w:asci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77" w:hRule="atLeast"/>
          <w:jc w:val="center"/>
        </w:trPr>
        <w:tc>
          <w:tcPr>
            <w:tcW w:w="885" w:type="dxa"/>
            <w:vAlign w:val="center"/>
          </w:tcPr>
          <w:p>
            <w:pPr>
              <w:jc w:val="center"/>
              <w:rPr>
                <w:rFonts w:ascii="宋体"/>
                <w:b/>
                <w:bCs/>
                <w:sz w:val="24"/>
              </w:rPr>
            </w:pPr>
            <w:r>
              <w:rPr>
                <w:rFonts w:hint="eastAsia" w:ascii="宋体" w:hAnsi="宋体"/>
                <w:b/>
                <w:bCs/>
                <w:sz w:val="24"/>
              </w:rPr>
              <w:t>评</w:t>
            </w:r>
          </w:p>
          <w:p>
            <w:pPr>
              <w:jc w:val="center"/>
              <w:rPr>
                <w:rFonts w:ascii="宋体"/>
                <w:b/>
                <w:bCs/>
                <w:sz w:val="24"/>
              </w:rPr>
            </w:pPr>
            <w:r>
              <w:rPr>
                <w:rFonts w:hint="eastAsia" w:ascii="宋体" w:hAnsi="宋体"/>
                <w:b/>
                <w:bCs/>
                <w:sz w:val="24"/>
              </w:rPr>
              <w:t>审</w:t>
            </w:r>
          </w:p>
          <w:p>
            <w:pPr>
              <w:jc w:val="center"/>
              <w:rPr>
                <w:rFonts w:ascii="宋体"/>
                <w:b/>
                <w:bCs/>
                <w:sz w:val="24"/>
              </w:rPr>
            </w:pPr>
            <w:r>
              <w:rPr>
                <w:rFonts w:hint="eastAsia" w:ascii="宋体" w:hAnsi="宋体"/>
                <w:b/>
                <w:bCs/>
                <w:sz w:val="24"/>
              </w:rPr>
              <w:t>程</w:t>
            </w:r>
          </w:p>
          <w:p>
            <w:pPr>
              <w:jc w:val="center"/>
              <w:rPr>
                <w:rFonts w:ascii="宋体"/>
                <w:sz w:val="24"/>
              </w:rPr>
            </w:pPr>
            <w:r>
              <w:rPr>
                <w:rFonts w:hint="eastAsia" w:ascii="宋体" w:hAnsi="宋体"/>
                <w:b/>
                <w:bCs/>
                <w:sz w:val="24"/>
              </w:rPr>
              <w:t>序</w:t>
            </w:r>
          </w:p>
        </w:tc>
        <w:tc>
          <w:tcPr>
            <w:tcW w:w="7643" w:type="dxa"/>
            <w:gridSpan w:val="4"/>
            <w:vAlign w:val="top"/>
          </w:tcPr>
          <w:p>
            <w:pPr>
              <w:rPr>
                <w:rFonts w:asci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212" w:hRule="atLeast"/>
          <w:jc w:val="center"/>
        </w:trPr>
        <w:tc>
          <w:tcPr>
            <w:tcW w:w="885" w:type="dxa"/>
            <w:tcBorders>
              <w:bottom w:val="single" w:color="000000" w:sz="12" w:space="0"/>
            </w:tcBorders>
            <w:vAlign w:val="center"/>
          </w:tcPr>
          <w:p>
            <w:pPr>
              <w:jc w:val="center"/>
              <w:rPr>
                <w:rFonts w:ascii="宋体"/>
                <w:b/>
                <w:bCs/>
                <w:sz w:val="24"/>
              </w:rPr>
            </w:pPr>
            <w:r>
              <w:rPr>
                <w:rFonts w:hint="eastAsia" w:ascii="宋体" w:hAnsi="宋体"/>
                <w:b/>
                <w:bCs/>
                <w:sz w:val="24"/>
              </w:rPr>
              <w:t>专</w:t>
            </w:r>
          </w:p>
          <w:p>
            <w:pPr>
              <w:jc w:val="center"/>
              <w:rPr>
                <w:rFonts w:ascii="宋体"/>
                <w:b/>
                <w:bCs/>
                <w:sz w:val="24"/>
              </w:rPr>
            </w:pPr>
            <w:r>
              <w:rPr>
                <w:rFonts w:hint="eastAsia" w:ascii="宋体" w:hAnsi="宋体"/>
                <w:b/>
                <w:bCs/>
                <w:sz w:val="24"/>
              </w:rPr>
              <w:t>家</w:t>
            </w:r>
          </w:p>
          <w:p>
            <w:pPr>
              <w:jc w:val="center"/>
              <w:rPr>
                <w:rFonts w:ascii="宋体"/>
                <w:b/>
                <w:bCs/>
                <w:sz w:val="24"/>
              </w:rPr>
            </w:pPr>
            <w:r>
              <w:rPr>
                <w:rFonts w:hint="eastAsia" w:ascii="宋体" w:hAnsi="宋体"/>
                <w:b/>
                <w:bCs/>
                <w:sz w:val="24"/>
              </w:rPr>
              <w:t>组</w:t>
            </w:r>
          </w:p>
          <w:p>
            <w:pPr>
              <w:jc w:val="center"/>
              <w:rPr>
                <w:rFonts w:ascii="宋体"/>
                <w:b/>
                <w:bCs/>
                <w:sz w:val="24"/>
              </w:rPr>
            </w:pPr>
            <w:r>
              <w:rPr>
                <w:rFonts w:hint="eastAsia" w:ascii="宋体" w:hAnsi="宋体"/>
                <w:b/>
                <w:bCs/>
                <w:sz w:val="24"/>
              </w:rPr>
              <w:t>评</w:t>
            </w:r>
          </w:p>
          <w:p>
            <w:pPr>
              <w:jc w:val="center"/>
              <w:rPr>
                <w:rFonts w:ascii="宋体"/>
                <w:b/>
                <w:bCs/>
                <w:sz w:val="24"/>
              </w:rPr>
            </w:pPr>
            <w:r>
              <w:rPr>
                <w:rFonts w:hint="eastAsia" w:ascii="宋体" w:hAnsi="宋体"/>
                <w:b/>
                <w:bCs/>
                <w:sz w:val="24"/>
              </w:rPr>
              <w:t>审</w:t>
            </w:r>
          </w:p>
          <w:p>
            <w:pPr>
              <w:jc w:val="center"/>
              <w:rPr>
                <w:rFonts w:ascii="宋体"/>
                <w:b/>
                <w:bCs/>
                <w:sz w:val="24"/>
              </w:rPr>
            </w:pPr>
            <w:r>
              <w:rPr>
                <w:rFonts w:hint="eastAsia" w:ascii="宋体" w:hAnsi="宋体"/>
                <w:b/>
                <w:bCs/>
                <w:sz w:val="24"/>
              </w:rPr>
              <w:t>意</w:t>
            </w:r>
          </w:p>
          <w:p>
            <w:pPr>
              <w:jc w:val="center"/>
              <w:rPr>
                <w:rFonts w:ascii="宋体"/>
                <w:b/>
                <w:bCs/>
                <w:sz w:val="24"/>
              </w:rPr>
            </w:pPr>
            <w:r>
              <w:rPr>
                <w:rFonts w:hint="eastAsia" w:ascii="宋体" w:hAnsi="宋体"/>
                <w:b/>
                <w:bCs/>
                <w:sz w:val="24"/>
              </w:rPr>
              <w:t>见</w:t>
            </w:r>
          </w:p>
          <w:p>
            <w:pPr>
              <w:jc w:val="center"/>
              <w:rPr>
                <w:rFonts w:ascii="宋体"/>
                <w:b/>
                <w:bCs/>
                <w:sz w:val="24"/>
              </w:rPr>
            </w:pPr>
            <w:r>
              <w:rPr>
                <w:rFonts w:hint="eastAsia" w:ascii="宋体" w:hAnsi="宋体"/>
                <w:b/>
                <w:bCs/>
                <w:sz w:val="24"/>
              </w:rPr>
              <w:t>与</w:t>
            </w:r>
          </w:p>
          <w:p>
            <w:pPr>
              <w:jc w:val="center"/>
              <w:rPr>
                <w:rFonts w:ascii="宋体"/>
                <w:b/>
                <w:bCs/>
                <w:sz w:val="24"/>
              </w:rPr>
            </w:pPr>
            <w:r>
              <w:rPr>
                <w:rFonts w:hint="eastAsia" w:ascii="宋体" w:hAnsi="宋体"/>
                <w:b/>
                <w:bCs/>
                <w:sz w:val="24"/>
              </w:rPr>
              <w:t>结</w:t>
            </w:r>
          </w:p>
          <w:p>
            <w:pPr>
              <w:jc w:val="center"/>
              <w:rPr>
                <w:rFonts w:ascii="宋体"/>
                <w:sz w:val="24"/>
              </w:rPr>
            </w:pPr>
            <w:r>
              <w:rPr>
                <w:rFonts w:hint="eastAsia" w:ascii="宋体" w:hAnsi="宋体"/>
                <w:b/>
                <w:bCs/>
                <w:sz w:val="24"/>
              </w:rPr>
              <w:t>论</w:t>
            </w:r>
          </w:p>
        </w:tc>
        <w:tc>
          <w:tcPr>
            <w:tcW w:w="7643" w:type="dxa"/>
            <w:gridSpan w:val="4"/>
            <w:tcBorders>
              <w:bottom w:val="single" w:color="000000" w:sz="12" w:space="0"/>
            </w:tcBorders>
            <w:vAlign w:val="top"/>
          </w:tcPr>
          <w:p>
            <w:pPr>
              <w:spacing w:line="440" w:lineRule="exac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ind w:firstLine="2520" w:firstLineChars="1050"/>
              <w:jc w:val="left"/>
              <w:rPr>
                <w:rFonts w:ascii="宋体"/>
                <w:sz w:val="24"/>
              </w:rPr>
            </w:pPr>
            <w:r>
              <w:rPr>
                <w:rFonts w:hint="eastAsia" w:ascii="宋体" w:hAnsi="宋体"/>
                <w:sz w:val="24"/>
              </w:rPr>
              <w:t>专家组组长：</w:t>
            </w:r>
          </w:p>
          <w:p>
            <w:pPr>
              <w:jc w:val="left"/>
              <w:rPr>
                <w:rFonts w:ascii="宋体"/>
                <w:sz w:val="24"/>
              </w:rPr>
            </w:pPr>
          </w:p>
          <w:p>
            <w:pPr>
              <w:jc w:val="left"/>
              <w:rPr>
                <w:rFonts w:ascii="宋体"/>
                <w:sz w:val="24"/>
              </w:rPr>
            </w:pPr>
            <w:r>
              <w:rPr>
                <w:rFonts w:ascii="宋体" w:hAnsi="宋体"/>
                <w:sz w:val="24"/>
              </w:rPr>
              <w:t xml:space="preserve">                      </w:t>
            </w:r>
            <w:r>
              <w:rPr>
                <w:rFonts w:hint="eastAsia" w:ascii="宋体" w:hAnsi="宋体"/>
                <w:sz w:val="24"/>
              </w:rPr>
              <w:t>成</w:t>
            </w:r>
            <w:r>
              <w:rPr>
                <w:rFonts w:ascii="宋体" w:hAnsi="宋体"/>
                <w:sz w:val="24"/>
              </w:rPr>
              <w:t xml:space="preserve">     </w:t>
            </w:r>
            <w:r>
              <w:rPr>
                <w:rFonts w:hint="eastAsia" w:ascii="宋体" w:hAnsi="宋体"/>
                <w:sz w:val="24"/>
              </w:rPr>
              <w:t>员：</w:t>
            </w:r>
          </w:p>
          <w:p>
            <w:pPr>
              <w:jc w:val="left"/>
              <w:rPr>
                <w:rFonts w:ascii="宋体"/>
                <w:sz w:val="24"/>
              </w:rPr>
            </w:pPr>
          </w:p>
          <w:p>
            <w:pPr>
              <w:spacing w:line="440" w:lineRule="exact"/>
              <w:ind w:firstLine="480" w:firstLineChars="200"/>
              <w:rPr>
                <w:rFonts w:ascii="宋体" w:hAnsi="宋体"/>
                <w:sz w:val="24"/>
              </w:rPr>
            </w:pPr>
            <w:r>
              <w:rPr>
                <w:rFonts w:ascii="宋体" w:hAnsi="宋体"/>
                <w:sz w:val="24"/>
              </w:rPr>
              <w:t xml:space="preserve">                            </w:t>
            </w:r>
          </w:p>
          <w:p>
            <w:pPr>
              <w:spacing w:line="440" w:lineRule="exact"/>
              <w:ind w:firstLine="3600" w:firstLineChars="1500"/>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widowControl/>
        <w:spacing w:line="560" w:lineRule="exact"/>
        <w:jc w:val="left"/>
        <w:rPr>
          <w:rFonts w:ascii="黑体" w:hAnsi="黑体" w:eastAsia="黑体"/>
          <w:sz w:val="32"/>
          <w:szCs w:val="32"/>
        </w:rPr>
      </w:pPr>
      <w:r>
        <w:rPr>
          <w:rFonts w:ascii="仿宋_GB2312" w:hAnsi="宋体" w:eastAsia="仿宋_GB2312" w:cs="Arial"/>
          <w:kern w:val="0"/>
          <w:sz w:val="32"/>
          <w:szCs w:val="32"/>
        </w:rPr>
        <w:br w:type="page"/>
      </w:r>
      <w:r>
        <w:rPr>
          <w:rFonts w:hint="eastAsia" w:ascii="黑体" w:hAnsi="黑体" w:eastAsia="黑体"/>
          <w:sz w:val="32"/>
          <w:szCs w:val="32"/>
        </w:rPr>
        <w:t>附件</w:t>
      </w:r>
      <w:r>
        <w:rPr>
          <w:rFonts w:ascii="黑体" w:hAnsi="黑体" w:eastAsia="黑体"/>
          <w:sz w:val="32"/>
          <w:szCs w:val="32"/>
        </w:rPr>
        <w:t>3</w:t>
      </w:r>
    </w:p>
    <w:p>
      <w:pPr>
        <w:spacing w:afterLines="50"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生产经营单位生产安全事故</w:t>
      </w:r>
    </w:p>
    <w:p>
      <w:pPr>
        <w:spacing w:afterLines="200" w:line="560" w:lineRule="exact"/>
        <w:jc w:val="center"/>
        <w:rPr>
          <w:rFonts w:ascii="方正小标宋简体" w:hAnsi="Times New Roman" w:eastAsia="方正小标宋简体"/>
          <w:b/>
          <w:sz w:val="44"/>
          <w:szCs w:val="44"/>
        </w:rPr>
      </w:pPr>
      <w:r>
        <w:rPr>
          <w:rFonts w:hint="eastAsia" w:ascii="方正小标宋简体" w:hAnsi="Times New Roman" w:eastAsia="方正小标宋简体"/>
          <w:sz w:val="44"/>
          <w:szCs w:val="44"/>
        </w:rPr>
        <w:t>应急预案备案申报表</w:t>
      </w:r>
    </w:p>
    <w:tbl>
      <w:tblPr>
        <w:tblStyle w:val="10"/>
        <w:tblW w:w="852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49"/>
        <w:gridCol w:w="2880"/>
        <w:gridCol w:w="1346"/>
        <w:gridCol w:w="274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jc w:val="center"/>
        </w:trPr>
        <w:tc>
          <w:tcPr>
            <w:tcW w:w="1549" w:type="dxa"/>
            <w:tcBorders>
              <w:top w:val="single" w:color="auto" w:sz="12" w:space="0"/>
              <w:bottom w:val="single" w:color="auto" w:sz="2" w:space="0"/>
              <w:right w:val="single" w:color="auto" w:sz="2" w:space="0"/>
            </w:tcBorders>
            <w:vAlign w:val="center"/>
          </w:tcPr>
          <w:p>
            <w:pPr>
              <w:jc w:val="center"/>
              <w:rPr>
                <w:b/>
                <w:sz w:val="24"/>
              </w:rPr>
            </w:pPr>
            <w:r>
              <w:rPr>
                <w:rFonts w:hint="eastAsia"/>
                <w:b/>
                <w:sz w:val="24"/>
              </w:rPr>
              <w:t>单位名称</w:t>
            </w:r>
          </w:p>
        </w:tc>
        <w:tc>
          <w:tcPr>
            <w:tcW w:w="6974" w:type="dxa"/>
            <w:gridSpan w:val="3"/>
            <w:tcBorders>
              <w:top w:val="single" w:color="auto" w:sz="12" w:space="0"/>
              <w:left w:val="single" w:color="auto" w:sz="2" w:space="0"/>
              <w:bottom w:val="single" w:color="auto" w:sz="2" w:space="0"/>
            </w:tcBorders>
            <w:vAlign w:val="center"/>
          </w:tcPr>
          <w:p>
            <w:pP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pacing w:val="60"/>
                <w:kern w:val="0"/>
                <w:sz w:val="24"/>
              </w:rPr>
              <w:t>联系</w:t>
            </w:r>
            <w:r>
              <w:rPr>
                <w:rFonts w:hint="eastAsia"/>
                <w:b/>
                <w:spacing w:val="1"/>
                <w:kern w:val="0"/>
                <w:sz w:val="24"/>
              </w:rPr>
              <w:t>人</w:t>
            </w:r>
          </w:p>
        </w:tc>
        <w:tc>
          <w:tcPr>
            <w:tcW w:w="2880" w:type="dxa"/>
            <w:tcBorders>
              <w:top w:val="single" w:color="auto" w:sz="2" w:space="0"/>
              <w:left w:val="single" w:color="auto" w:sz="2" w:space="0"/>
              <w:bottom w:val="single" w:color="auto" w:sz="2" w:space="0"/>
              <w:right w:val="single" w:color="auto" w:sz="2" w:space="0"/>
            </w:tcBorders>
            <w:vAlign w:val="center"/>
          </w:tcPr>
          <w:p>
            <w:pPr>
              <w:rPr>
                <w:snapToGrid w:val="0"/>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联系电话</w:t>
            </w:r>
          </w:p>
        </w:tc>
        <w:tc>
          <w:tcPr>
            <w:tcW w:w="2748" w:type="dxa"/>
            <w:tcBorders>
              <w:top w:val="single" w:color="auto" w:sz="2" w:space="0"/>
              <w:left w:val="single" w:color="auto" w:sz="2" w:space="0"/>
              <w:bottom w:val="single" w:color="auto" w:sz="2" w:space="0"/>
            </w:tcBorders>
            <w:vAlign w:val="center"/>
          </w:tcPr>
          <w:p>
            <w:pPr>
              <w:jc w:val="center"/>
              <w:rPr>
                <w:snapToGrid w:val="0"/>
                <w:sz w:val="24"/>
              </w:rPr>
            </w:pPr>
            <w:r>
              <w:rPr>
                <w:b/>
                <w:sz w:val="24"/>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传</w:t>
            </w:r>
            <w:r>
              <w:rPr>
                <w:b/>
                <w:sz w:val="24"/>
              </w:rPr>
              <w:t xml:space="preserve">    </w:t>
            </w:r>
            <w:r>
              <w:rPr>
                <w:rFonts w:hint="eastAsia"/>
                <w:b/>
                <w:sz w:val="24"/>
              </w:rPr>
              <w:t>真</w:t>
            </w:r>
          </w:p>
        </w:tc>
        <w:tc>
          <w:tcPr>
            <w:tcW w:w="2880" w:type="dxa"/>
            <w:tcBorders>
              <w:top w:val="single" w:color="auto" w:sz="2" w:space="0"/>
              <w:left w:val="single" w:color="auto" w:sz="2" w:space="0"/>
              <w:bottom w:val="single" w:color="auto" w:sz="2" w:space="0"/>
              <w:right w:val="single" w:color="auto" w:sz="2" w:space="0"/>
            </w:tcBorders>
            <w:vAlign w:val="center"/>
          </w:tcPr>
          <w:p>
            <w:pPr>
              <w:ind w:right="480"/>
              <w:rPr>
                <w:b/>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电子信箱</w:t>
            </w:r>
          </w:p>
        </w:tc>
        <w:tc>
          <w:tcPr>
            <w:tcW w:w="2748" w:type="dxa"/>
            <w:tcBorders>
              <w:top w:val="single" w:color="auto" w:sz="2" w:space="0"/>
              <w:left w:val="single" w:color="auto" w:sz="2" w:space="0"/>
              <w:bottom w:val="single" w:color="auto" w:sz="2" w:space="0"/>
            </w:tcBorders>
            <w:vAlign w:val="center"/>
          </w:tcPr>
          <w:p>
            <w:pPr>
              <w:jc w:val="right"/>
              <w:rPr>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法定代表人</w:t>
            </w:r>
          </w:p>
        </w:tc>
        <w:tc>
          <w:tcPr>
            <w:tcW w:w="2880" w:type="dxa"/>
            <w:tcBorders>
              <w:top w:val="single" w:color="auto" w:sz="2" w:space="0"/>
              <w:left w:val="single" w:color="auto" w:sz="2" w:space="0"/>
              <w:bottom w:val="single" w:color="auto" w:sz="2" w:space="0"/>
              <w:right w:val="single" w:color="auto" w:sz="2" w:space="0"/>
            </w:tcBorders>
            <w:vAlign w:val="center"/>
          </w:tcPr>
          <w:p>
            <w:pPr>
              <w:jc w:val="center"/>
              <w:rPr>
                <w:b/>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资产总额</w:t>
            </w:r>
          </w:p>
        </w:tc>
        <w:tc>
          <w:tcPr>
            <w:tcW w:w="2748" w:type="dxa"/>
            <w:tcBorders>
              <w:top w:val="single" w:color="auto" w:sz="2" w:space="0"/>
              <w:left w:val="single" w:color="auto" w:sz="2" w:space="0"/>
              <w:bottom w:val="single" w:color="auto" w:sz="2" w:space="0"/>
            </w:tcBorders>
            <w:vAlign w:val="center"/>
          </w:tcPr>
          <w:p>
            <w:pPr>
              <w:jc w:val="right"/>
              <w:rPr>
                <w:snapToGrid w:val="0"/>
                <w:sz w:val="24"/>
              </w:rPr>
            </w:pPr>
            <w:r>
              <w:rPr>
                <w:rFonts w:hint="eastAsia"/>
                <w:b/>
                <w:sz w:val="24"/>
              </w:rPr>
              <w:t>万元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行业类型</w:t>
            </w:r>
          </w:p>
        </w:tc>
        <w:tc>
          <w:tcPr>
            <w:tcW w:w="2880" w:type="dxa"/>
            <w:tcBorders>
              <w:top w:val="single" w:color="auto" w:sz="2" w:space="0"/>
              <w:left w:val="single" w:color="auto" w:sz="2" w:space="0"/>
              <w:bottom w:val="single" w:color="auto" w:sz="2" w:space="0"/>
              <w:right w:val="single" w:color="auto" w:sz="2" w:space="0"/>
            </w:tcBorders>
            <w:vAlign w:val="center"/>
          </w:tcPr>
          <w:p>
            <w:pPr>
              <w:jc w:val="center"/>
              <w:rPr>
                <w:b/>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从业人数</w:t>
            </w:r>
          </w:p>
        </w:tc>
        <w:tc>
          <w:tcPr>
            <w:tcW w:w="2748" w:type="dxa"/>
            <w:tcBorders>
              <w:top w:val="single" w:color="auto" w:sz="2" w:space="0"/>
              <w:left w:val="single" w:color="auto" w:sz="2" w:space="0"/>
              <w:bottom w:val="single" w:color="auto" w:sz="2" w:space="0"/>
            </w:tcBorders>
            <w:vAlign w:val="center"/>
          </w:tcPr>
          <w:p>
            <w:pPr>
              <w:jc w:val="right"/>
              <w:rPr>
                <w:b/>
                <w:sz w:val="24"/>
              </w:rPr>
            </w:pPr>
            <w:r>
              <w:rPr>
                <w:rFonts w:hint="eastAsia"/>
                <w:b/>
                <w:sz w:val="24"/>
              </w:rPr>
              <w:t>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549" w:type="dxa"/>
            <w:tcBorders>
              <w:top w:val="single" w:color="auto" w:sz="2" w:space="0"/>
              <w:bottom w:val="single" w:color="auto" w:sz="12" w:space="0"/>
              <w:right w:val="single" w:color="auto" w:sz="2" w:space="0"/>
            </w:tcBorders>
            <w:vAlign w:val="center"/>
          </w:tcPr>
          <w:p>
            <w:pPr>
              <w:jc w:val="center"/>
              <w:rPr>
                <w:b/>
                <w:sz w:val="24"/>
              </w:rPr>
            </w:pPr>
            <w:r>
              <w:rPr>
                <w:rFonts w:hint="eastAsia"/>
                <w:b/>
                <w:sz w:val="24"/>
              </w:rPr>
              <w:t>单位地址</w:t>
            </w:r>
          </w:p>
        </w:tc>
        <w:tc>
          <w:tcPr>
            <w:tcW w:w="2880" w:type="dxa"/>
            <w:tcBorders>
              <w:top w:val="single" w:color="auto" w:sz="2" w:space="0"/>
              <w:left w:val="single" w:color="auto" w:sz="2" w:space="0"/>
              <w:bottom w:val="single" w:color="auto" w:sz="12" w:space="0"/>
              <w:right w:val="single" w:color="auto" w:sz="2" w:space="0"/>
            </w:tcBorders>
            <w:vAlign w:val="center"/>
          </w:tcPr>
          <w:p>
            <w:pPr>
              <w:jc w:val="center"/>
              <w:rPr>
                <w:b/>
                <w:sz w:val="24"/>
              </w:rPr>
            </w:pPr>
          </w:p>
        </w:tc>
        <w:tc>
          <w:tcPr>
            <w:tcW w:w="1346" w:type="dxa"/>
            <w:tcBorders>
              <w:top w:val="single" w:color="auto" w:sz="2" w:space="0"/>
              <w:left w:val="single" w:color="auto" w:sz="2" w:space="0"/>
              <w:bottom w:val="single" w:color="auto" w:sz="12" w:space="0"/>
              <w:right w:val="single" w:color="auto" w:sz="2" w:space="0"/>
            </w:tcBorders>
            <w:vAlign w:val="center"/>
          </w:tcPr>
          <w:p>
            <w:pPr>
              <w:jc w:val="center"/>
              <w:rPr>
                <w:b/>
                <w:sz w:val="24"/>
              </w:rPr>
            </w:pPr>
            <w:r>
              <w:rPr>
                <w:rFonts w:hint="eastAsia"/>
                <w:b/>
                <w:sz w:val="24"/>
              </w:rPr>
              <w:t>邮政编码</w:t>
            </w:r>
          </w:p>
        </w:tc>
        <w:tc>
          <w:tcPr>
            <w:tcW w:w="2748" w:type="dxa"/>
            <w:tcBorders>
              <w:top w:val="single" w:color="auto" w:sz="2" w:space="0"/>
              <w:left w:val="single" w:color="auto" w:sz="2" w:space="0"/>
              <w:bottom w:val="single" w:color="auto" w:sz="12" w:space="0"/>
            </w:tcBorders>
            <w:vAlign w:val="center"/>
          </w:tcPr>
          <w:p>
            <w:pPr>
              <w:jc w:val="right"/>
              <w:rPr>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73" w:hRule="atLeast"/>
          <w:jc w:val="center"/>
        </w:trPr>
        <w:tc>
          <w:tcPr>
            <w:tcW w:w="8523" w:type="dxa"/>
            <w:gridSpan w:val="4"/>
            <w:tcBorders>
              <w:top w:val="single" w:color="auto" w:sz="12" w:space="0"/>
              <w:bottom w:val="single" w:color="auto" w:sz="12" w:space="0"/>
            </w:tcBorders>
            <w:vAlign w:val="center"/>
          </w:tcPr>
          <w:p>
            <w:pPr>
              <w:ind w:firstLine="200" w:firstLineChars="200"/>
              <w:rPr>
                <w:rFonts w:ascii="仿宋_GB2312" w:eastAsia="仿宋_GB2312"/>
                <w:snapToGrid w:val="0"/>
                <w:sz w:val="10"/>
                <w:szCs w:val="10"/>
              </w:rPr>
            </w:pPr>
          </w:p>
          <w:p>
            <w:pPr>
              <w:ind w:firstLine="560" w:firstLineChars="200"/>
              <w:rPr>
                <w:snapToGrid w:val="0"/>
              </w:rPr>
            </w:pPr>
            <w:r>
              <w:rPr>
                <w:rFonts w:hint="eastAsia" w:ascii="仿宋_GB2312" w:eastAsia="仿宋_GB2312"/>
                <w:snapToGrid w:val="0"/>
                <w:sz w:val="28"/>
              </w:rPr>
              <w:t>根据《生产安全事故应急预案管理办法》，现将我单位于</w:t>
            </w:r>
            <w:r>
              <w:rPr>
                <w:rFonts w:ascii="仿宋_GB2312" w:eastAsia="仿宋_GB2312"/>
                <w:snapToGrid w:val="0"/>
                <w:sz w:val="28"/>
              </w:rPr>
              <w:t xml:space="preserve">    </w:t>
            </w:r>
            <w:r>
              <w:rPr>
                <w:rFonts w:hint="eastAsia" w:ascii="仿宋_GB2312" w:eastAsia="仿宋_GB2312"/>
                <w:snapToGrid w:val="0"/>
                <w:sz w:val="28"/>
              </w:rPr>
              <w:t>年</w:t>
            </w:r>
            <w:r>
              <w:rPr>
                <w:rFonts w:ascii="仿宋_GB2312" w:eastAsia="仿宋_GB2312"/>
                <w:snapToGrid w:val="0"/>
                <w:sz w:val="28"/>
              </w:rPr>
              <w:t xml:space="preserve">   </w:t>
            </w:r>
            <w:r>
              <w:rPr>
                <w:rFonts w:hint="eastAsia" w:ascii="仿宋_GB2312" w:eastAsia="仿宋_GB2312"/>
                <w:snapToGrid w:val="0"/>
                <w:sz w:val="28"/>
              </w:rPr>
              <w:t>月</w:t>
            </w:r>
            <w:r>
              <w:rPr>
                <w:rFonts w:ascii="仿宋_GB2312" w:eastAsia="仿宋_GB2312"/>
                <w:snapToGrid w:val="0"/>
                <w:sz w:val="28"/>
              </w:rPr>
              <w:t xml:space="preserve">   </w:t>
            </w:r>
            <w:r>
              <w:rPr>
                <w:rFonts w:hint="eastAsia" w:ascii="仿宋_GB2312" w:eastAsia="仿宋_GB2312"/>
                <w:snapToGrid w:val="0"/>
                <w:sz w:val="28"/>
              </w:rPr>
              <w:t>日签署发布的：</w:t>
            </w: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ind w:firstLine="560" w:firstLineChars="200"/>
              <w:rPr>
                <w:rFonts w:ascii="仿宋_GB2312" w:eastAsia="仿宋_GB2312"/>
                <w:snapToGrid w:val="0"/>
                <w:sz w:val="28"/>
              </w:rPr>
            </w:pPr>
            <w:r>
              <w:rPr>
                <w:rFonts w:hint="eastAsia" w:ascii="仿宋_GB2312" w:eastAsia="仿宋_GB2312"/>
                <w:snapToGrid w:val="0"/>
                <w:sz w:val="28"/>
              </w:rPr>
              <w:t>等预案，以及相关备案材料报上，请予备案。</w:t>
            </w:r>
          </w:p>
          <w:p>
            <w:pPr>
              <w:ind w:firstLine="560" w:firstLineChars="200"/>
              <w:rPr>
                <w:rFonts w:ascii="仿宋_GB2312" w:eastAsia="仿宋_GB2312"/>
                <w:snapToGrid w:val="0"/>
                <w:sz w:val="28"/>
              </w:rPr>
            </w:pPr>
            <w:r>
              <w:rPr>
                <w:rFonts w:hint="eastAsia" w:ascii="仿宋_GB2312" w:eastAsia="仿宋_GB2312"/>
                <w:snapToGrid w:val="0"/>
                <w:sz w:val="28"/>
              </w:rPr>
              <w:t>本单位承诺，本单位在办理备案中所提供的相关文件及其信息均经本单位确认真实，无虚假，且未隐瞒事实。</w:t>
            </w:r>
          </w:p>
          <w:p>
            <w:pPr>
              <w:rPr>
                <w:snapToGrid w:val="0"/>
              </w:rPr>
            </w:pPr>
          </w:p>
          <w:p>
            <w:pPr>
              <w:rPr>
                <w:snapToGrid w:val="0"/>
              </w:rPr>
            </w:pPr>
          </w:p>
          <w:p>
            <w:pPr>
              <w:jc w:val="center"/>
              <w:rPr>
                <w:b/>
                <w:sz w:val="24"/>
              </w:rPr>
            </w:pPr>
            <w:r>
              <w:rPr>
                <w:snapToGrid w:val="0"/>
              </w:rPr>
              <w:t xml:space="preserve">                             </w:t>
            </w:r>
            <w:r>
              <w:rPr>
                <w:rFonts w:hint="eastAsia"/>
                <w:snapToGrid w:val="0"/>
              </w:rPr>
              <w:t>（</w:t>
            </w:r>
            <w:r>
              <w:rPr>
                <w:rFonts w:hint="eastAsia"/>
                <w:b/>
                <w:sz w:val="24"/>
              </w:rPr>
              <w:t>单位公章）</w:t>
            </w:r>
          </w:p>
          <w:p>
            <w:pPr>
              <w:jc w:val="center"/>
              <w:rPr>
                <w:b/>
                <w:sz w:val="24"/>
              </w:rPr>
            </w:pPr>
            <w:r>
              <w:rPr>
                <w:snapToGrid w:val="0"/>
                <w:sz w:val="24"/>
              </w:rPr>
              <w:t xml:space="preserve">                          </w:t>
            </w:r>
            <w:r>
              <w:rPr>
                <w:snapToGrid w:val="0"/>
                <w:sz w:val="24"/>
                <w:u w:val="single"/>
              </w:rPr>
              <w:t xml:space="preserve">      </w:t>
            </w:r>
            <w:r>
              <w:rPr>
                <w:rFonts w:hint="eastAsia"/>
                <w:b/>
                <w:sz w:val="24"/>
              </w:rPr>
              <w:t>年</w:t>
            </w:r>
            <w:r>
              <w:rPr>
                <w:sz w:val="24"/>
                <w:u w:val="single"/>
              </w:rPr>
              <w:t xml:space="preserve">    </w:t>
            </w:r>
            <w:r>
              <w:rPr>
                <w:rFonts w:hint="eastAsia"/>
                <w:b/>
                <w:sz w:val="24"/>
              </w:rPr>
              <w:t>月</w:t>
            </w:r>
            <w:r>
              <w:rPr>
                <w:sz w:val="24"/>
                <w:u w:val="single"/>
              </w:rPr>
              <w:t xml:space="preserve">    </w:t>
            </w:r>
            <w:r>
              <w:rPr>
                <w:rFonts w:hint="eastAsia"/>
                <w:b/>
                <w:sz w:val="24"/>
              </w:rPr>
              <w:t>日</w:t>
            </w:r>
          </w:p>
          <w:p>
            <w:pPr>
              <w:jc w:val="center"/>
              <w:rPr>
                <w:b/>
              </w:rPr>
            </w:pPr>
          </w:p>
        </w:tc>
      </w:tr>
    </w:tbl>
    <w:p>
      <w:pPr>
        <w:spacing w:line="56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afterLines="50"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生产经营单位生产安全事故</w:t>
      </w:r>
    </w:p>
    <w:p>
      <w:pPr>
        <w:spacing w:afterLines="150" w:line="560" w:lineRule="exact"/>
        <w:jc w:val="center"/>
        <w:rPr>
          <w:rFonts w:ascii="Times New Roman" w:hAnsi="Times New Roman" w:eastAsia="黑体"/>
          <w:b/>
          <w:sz w:val="44"/>
          <w:szCs w:val="44"/>
        </w:rPr>
      </w:pPr>
      <w:r>
        <w:rPr>
          <w:rFonts w:hint="eastAsia" w:ascii="方正小标宋简体" w:hAnsi="Times New Roman" w:eastAsia="方正小标宋简体"/>
          <w:sz w:val="44"/>
          <w:szCs w:val="44"/>
        </w:rPr>
        <w:t>应急预案备案登记表</w:t>
      </w:r>
    </w:p>
    <w:p>
      <w:pPr>
        <w:rPr>
          <w:rFonts w:ascii="Times New Roman" w:hAnsi="Times New Roman" w:eastAsia="黑体"/>
          <w:sz w:val="24"/>
          <w:szCs w:val="20"/>
        </w:rPr>
      </w:pPr>
      <w:r>
        <w:rPr>
          <w:rFonts w:hint="eastAsia" w:ascii="Times New Roman" w:hAnsi="Times New Roman" w:eastAsia="黑体"/>
          <w:sz w:val="24"/>
          <w:szCs w:val="20"/>
        </w:rPr>
        <w:t>备案编号：</w:t>
      </w:r>
    </w:p>
    <w:tbl>
      <w:tblPr>
        <w:tblStyle w:val="10"/>
        <w:tblW w:w="858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628"/>
        <w:gridCol w:w="3013"/>
        <w:gridCol w:w="1451"/>
        <w:gridCol w:w="24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628" w:type="dxa"/>
            <w:tcBorders>
              <w:top w:val="single" w:color="auto" w:sz="12" w:space="0"/>
              <w:bottom w:val="single" w:color="auto" w:sz="2" w:space="0"/>
              <w:right w:val="single" w:color="auto" w:sz="2" w:space="0"/>
            </w:tcBorders>
            <w:vAlign w:val="center"/>
          </w:tcPr>
          <w:p>
            <w:pPr>
              <w:jc w:val="center"/>
              <w:rPr>
                <w:b/>
                <w:sz w:val="24"/>
              </w:rPr>
            </w:pPr>
            <w:r>
              <w:rPr>
                <w:rFonts w:hint="eastAsia"/>
                <w:b/>
                <w:sz w:val="24"/>
              </w:rPr>
              <w:t>单位名称</w:t>
            </w:r>
          </w:p>
        </w:tc>
        <w:tc>
          <w:tcPr>
            <w:tcW w:w="6958" w:type="dxa"/>
            <w:gridSpan w:val="3"/>
            <w:tcBorders>
              <w:top w:val="single" w:color="auto" w:sz="12" w:space="0"/>
              <w:left w:val="single" w:color="auto" w:sz="2" w:space="0"/>
              <w:bottom w:val="single" w:color="auto" w:sz="2" w:space="0"/>
            </w:tcBorders>
            <w:vAlign w:val="center"/>
          </w:tcPr>
          <w:p>
            <w:pPr>
              <w:jc w:val="cente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628"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单位地址</w:t>
            </w:r>
          </w:p>
        </w:tc>
        <w:tc>
          <w:tcPr>
            <w:tcW w:w="3013" w:type="dxa"/>
            <w:tcBorders>
              <w:top w:val="single" w:color="auto" w:sz="2" w:space="0"/>
              <w:left w:val="single" w:color="auto" w:sz="2" w:space="0"/>
              <w:bottom w:val="single" w:color="auto" w:sz="2" w:space="0"/>
              <w:right w:val="single" w:color="auto" w:sz="2" w:space="0"/>
            </w:tcBorders>
            <w:vAlign w:val="center"/>
          </w:tcPr>
          <w:p>
            <w:pPr>
              <w:rPr>
                <w:snapToGrid w:val="0"/>
                <w:szCs w:val="21"/>
              </w:rPr>
            </w:pPr>
          </w:p>
        </w:tc>
        <w:tc>
          <w:tcPr>
            <w:tcW w:w="1451" w:type="dxa"/>
            <w:tcBorders>
              <w:top w:val="single" w:color="auto" w:sz="2" w:space="0"/>
              <w:left w:val="single" w:color="auto" w:sz="2" w:space="0"/>
              <w:bottom w:val="single" w:color="auto" w:sz="2" w:space="0"/>
              <w:right w:val="single" w:color="auto" w:sz="2" w:space="0"/>
            </w:tcBorders>
            <w:vAlign w:val="center"/>
          </w:tcPr>
          <w:p>
            <w:pPr>
              <w:jc w:val="center"/>
              <w:rPr>
                <w:snapToGrid w:val="0"/>
                <w:sz w:val="24"/>
              </w:rPr>
            </w:pPr>
            <w:r>
              <w:rPr>
                <w:rFonts w:hint="eastAsia"/>
                <w:b/>
                <w:sz w:val="24"/>
              </w:rPr>
              <w:t>邮政编码</w:t>
            </w:r>
          </w:p>
        </w:tc>
        <w:tc>
          <w:tcPr>
            <w:tcW w:w="2494" w:type="dxa"/>
            <w:tcBorders>
              <w:top w:val="single" w:color="auto" w:sz="2" w:space="0"/>
              <w:left w:val="single" w:color="auto" w:sz="2" w:space="0"/>
              <w:bottom w:val="single" w:color="auto" w:sz="2" w:space="0"/>
            </w:tcBorders>
            <w:vAlign w:val="center"/>
          </w:tcPr>
          <w:p>
            <w:pPr>
              <w:jc w:val="cente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jc w:val="center"/>
        </w:trPr>
        <w:tc>
          <w:tcPr>
            <w:tcW w:w="1628"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法定代表人</w:t>
            </w:r>
          </w:p>
        </w:tc>
        <w:tc>
          <w:tcPr>
            <w:tcW w:w="3013" w:type="dxa"/>
            <w:tcBorders>
              <w:top w:val="single" w:color="auto" w:sz="2" w:space="0"/>
              <w:left w:val="single" w:color="auto" w:sz="2" w:space="0"/>
              <w:bottom w:val="single" w:color="auto" w:sz="2" w:space="0"/>
              <w:right w:val="single" w:color="auto" w:sz="2" w:space="0"/>
            </w:tcBorders>
            <w:vAlign w:val="center"/>
          </w:tcPr>
          <w:p>
            <w:pPr>
              <w:jc w:val="center"/>
              <w:rPr>
                <w:snapToGrid w:val="0"/>
                <w:sz w:val="24"/>
              </w:rPr>
            </w:pPr>
          </w:p>
        </w:tc>
        <w:tc>
          <w:tcPr>
            <w:tcW w:w="1451"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pacing w:val="60"/>
                <w:kern w:val="0"/>
                <w:sz w:val="24"/>
              </w:rPr>
              <w:t>经办</w:t>
            </w:r>
            <w:r>
              <w:rPr>
                <w:rFonts w:hint="eastAsia"/>
                <w:b/>
                <w:spacing w:val="1"/>
                <w:kern w:val="0"/>
                <w:sz w:val="24"/>
              </w:rPr>
              <w:t>人</w:t>
            </w:r>
          </w:p>
        </w:tc>
        <w:tc>
          <w:tcPr>
            <w:tcW w:w="2494" w:type="dxa"/>
            <w:tcBorders>
              <w:top w:val="single" w:color="auto" w:sz="2" w:space="0"/>
              <w:left w:val="single" w:color="auto" w:sz="2" w:space="0"/>
              <w:bottom w:val="single" w:color="auto" w:sz="2" w:space="0"/>
            </w:tcBorders>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51" w:hRule="atLeast"/>
          <w:jc w:val="center"/>
        </w:trPr>
        <w:tc>
          <w:tcPr>
            <w:tcW w:w="1628" w:type="dxa"/>
            <w:tcBorders>
              <w:top w:val="single" w:color="auto" w:sz="2" w:space="0"/>
              <w:bottom w:val="single" w:color="auto" w:sz="12" w:space="0"/>
              <w:right w:val="single" w:color="auto" w:sz="2" w:space="0"/>
            </w:tcBorders>
            <w:vAlign w:val="center"/>
          </w:tcPr>
          <w:p>
            <w:pPr>
              <w:jc w:val="center"/>
              <w:rPr>
                <w:b/>
                <w:sz w:val="24"/>
              </w:rPr>
            </w:pPr>
            <w:r>
              <w:rPr>
                <w:rFonts w:hint="eastAsia"/>
                <w:b/>
                <w:sz w:val="24"/>
              </w:rPr>
              <w:t>联系电话</w:t>
            </w:r>
          </w:p>
        </w:tc>
        <w:tc>
          <w:tcPr>
            <w:tcW w:w="3013" w:type="dxa"/>
            <w:tcBorders>
              <w:top w:val="single" w:color="auto" w:sz="2" w:space="0"/>
              <w:left w:val="single" w:color="auto" w:sz="2" w:space="0"/>
              <w:bottom w:val="single" w:color="auto" w:sz="12" w:space="0"/>
              <w:right w:val="single" w:color="auto" w:sz="2" w:space="0"/>
            </w:tcBorders>
            <w:vAlign w:val="center"/>
          </w:tcPr>
          <w:p>
            <w:pPr>
              <w:jc w:val="center"/>
              <w:rPr>
                <w:snapToGrid w:val="0"/>
                <w:sz w:val="24"/>
              </w:rPr>
            </w:pPr>
          </w:p>
        </w:tc>
        <w:tc>
          <w:tcPr>
            <w:tcW w:w="1451" w:type="dxa"/>
            <w:tcBorders>
              <w:top w:val="single" w:color="auto" w:sz="2" w:space="0"/>
              <w:left w:val="single" w:color="auto" w:sz="2" w:space="0"/>
              <w:bottom w:val="single" w:color="auto" w:sz="12" w:space="0"/>
              <w:right w:val="single" w:color="auto" w:sz="2" w:space="0"/>
            </w:tcBorders>
            <w:vAlign w:val="center"/>
          </w:tcPr>
          <w:p>
            <w:pPr>
              <w:jc w:val="center"/>
              <w:rPr>
                <w:b/>
                <w:sz w:val="24"/>
              </w:rPr>
            </w:pPr>
            <w:r>
              <w:rPr>
                <w:rFonts w:hint="eastAsia"/>
                <w:b/>
                <w:sz w:val="24"/>
              </w:rPr>
              <w:t>传</w:t>
            </w:r>
            <w:r>
              <w:rPr>
                <w:b/>
                <w:sz w:val="24"/>
              </w:rPr>
              <w:t xml:space="preserve">    </w:t>
            </w:r>
            <w:r>
              <w:rPr>
                <w:rFonts w:hint="eastAsia"/>
                <w:b/>
                <w:sz w:val="24"/>
              </w:rPr>
              <w:t>真</w:t>
            </w:r>
          </w:p>
        </w:tc>
        <w:tc>
          <w:tcPr>
            <w:tcW w:w="2494" w:type="dxa"/>
            <w:tcBorders>
              <w:top w:val="single" w:color="auto" w:sz="2" w:space="0"/>
              <w:left w:val="single" w:color="auto" w:sz="2" w:space="0"/>
              <w:bottom w:val="single" w:color="auto" w:sz="12" w:space="0"/>
            </w:tcBorders>
            <w:vAlign w:val="center"/>
          </w:tcPr>
          <w:p>
            <w:pPr>
              <w:jc w:val="cente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19" w:hRule="atLeast"/>
          <w:jc w:val="center"/>
        </w:trPr>
        <w:tc>
          <w:tcPr>
            <w:tcW w:w="8586" w:type="dxa"/>
            <w:gridSpan w:val="4"/>
            <w:tcBorders>
              <w:top w:val="single" w:color="auto" w:sz="12" w:space="0"/>
              <w:bottom w:val="single" w:color="auto" w:sz="12" w:space="0"/>
            </w:tcBorders>
            <w:vAlign w:val="center"/>
          </w:tcPr>
          <w:p>
            <w:pPr>
              <w:ind w:firstLine="560" w:firstLineChars="200"/>
              <w:rPr>
                <w:snapToGrid w:val="0"/>
                <w:sz w:val="24"/>
              </w:rPr>
            </w:pPr>
            <w:r>
              <w:rPr>
                <w:rFonts w:hint="eastAsia" w:ascii="仿宋_GB2312" w:eastAsia="仿宋_GB2312"/>
                <w:snapToGrid w:val="0"/>
                <w:sz w:val="28"/>
              </w:rPr>
              <w:t>你单位上报的：</w:t>
            </w:r>
          </w:p>
          <w:p>
            <w:pPr>
              <w:rPr>
                <w:rFonts w:ascii="仿宋_GB2312" w:eastAsia="仿宋_GB2312"/>
                <w:snapToGrid w:val="0"/>
                <w:sz w:val="28"/>
              </w:rPr>
            </w:pPr>
          </w:p>
          <w:p>
            <w:pPr>
              <w:rPr>
                <w:rFonts w:ascii="仿宋_GB2312" w:eastAsia="仿宋_GB2312"/>
                <w:snapToGrid w:val="0"/>
                <w:sz w:val="28"/>
              </w:rPr>
            </w:pPr>
          </w:p>
          <w:p>
            <w:pPr>
              <w:rPr>
                <w:rFonts w:ascii="仿宋_GB2312" w:eastAsia="仿宋_GB2312"/>
                <w:snapToGrid w:val="0"/>
                <w:sz w:val="28"/>
              </w:rPr>
            </w:pPr>
          </w:p>
          <w:p>
            <w:pPr>
              <w:rPr>
                <w:rFonts w:ascii="仿宋_GB2312" w:eastAsia="仿宋_GB2312"/>
                <w:snapToGrid w:val="0"/>
                <w:sz w:val="28"/>
              </w:rPr>
            </w:pPr>
          </w:p>
          <w:p>
            <w:pPr>
              <w:ind w:firstLine="560" w:firstLineChars="200"/>
              <w:rPr>
                <w:rFonts w:ascii="仿宋_GB2312" w:eastAsia="仿宋_GB2312"/>
                <w:snapToGrid w:val="0"/>
                <w:sz w:val="28"/>
              </w:rPr>
            </w:pPr>
            <w:r>
              <w:rPr>
                <w:rFonts w:hint="eastAsia" w:ascii="仿宋_GB2312" w:eastAsia="仿宋_GB2312"/>
                <w:snapToGrid w:val="0"/>
                <w:sz w:val="28"/>
              </w:rPr>
              <w:t>等应急预案，以及相关备案材料已于</w:t>
            </w:r>
            <w:r>
              <w:rPr>
                <w:rFonts w:ascii="仿宋_GB2312" w:eastAsia="仿宋_GB2312"/>
                <w:snapToGrid w:val="0"/>
                <w:sz w:val="28"/>
              </w:rPr>
              <w:tab/>
            </w:r>
            <w:r>
              <w:rPr>
                <w:rFonts w:hint="eastAsia" w:ascii="仿宋_GB2312" w:eastAsia="仿宋_GB2312"/>
                <w:snapToGrid w:val="0"/>
                <w:sz w:val="28"/>
              </w:rPr>
              <w:t>年</w:t>
            </w:r>
            <w:r>
              <w:rPr>
                <w:rFonts w:ascii="仿宋_GB2312" w:eastAsia="仿宋_GB2312"/>
                <w:snapToGrid w:val="0"/>
                <w:sz w:val="28"/>
              </w:rPr>
              <w:tab/>
            </w:r>
            <w:r>
              <w:rPr>
                <w:rFonts w:hint="eastAsia" w:ascii="仿宋_GB2312" w:eastAsia="仿宋_GB2312"/>
                <w:snapToGrid w:val="0"/>
                <w:sz w:val="28"/>
              </w:rPr>
              <w:t>月</w:t>
            </w:r>
            <w:r>
              <w:rPr>
                <w:rFonts w:ascii="仿宋_GB2312" w:eastAsia="仿宋_GB2312"/>
                <w:snapToGrid w:val="0"/>
                <w:sz w:val="28"/>
              </w:rPr>
              <w:tab/>
            </w:r>
            <w:r>
              <w:rPr>
                <w:rFonts w:hint="eastAsia" w:ascii="仿宋_GB2312" w:eastAsia="仿宋_GB2312"/>
                <w:snapToGrid w:val="0"/>
                <w:sz w:val="28"/>
              </w:rPr>
              <w:t>日收讫，材料齐全，予以备案。</w:t>
            </w:r>
          </w:p>
          <w:p>
            <w:pPr>
              <w:rPr>
                <w:snapToGrid w:val="0"/>
              </w:rPr>
            </w:pPr>
          </w:p>
          <w:p>
            <w:pPr>
              <w:rPr>
                <w:snapToGrid w:val="0"/>
              </w:rPr>
            </w:pPr>
          </w:p>
          <w:p>
            <w:pPr>
              <w:rPr>
                <w:snapToGrid w:val="0"/>
              </w:rPr>
            </w:pPr>
          </w:p>
          <w:p>
            <w:pPr>
              <w:rPr>
                <w:snapToGrid w:val="0"/>
              </w:rPr>
            </w:pPr>
          </w:p>
          <w:p>
            <w:pPr>
              <w:jc w:val="center"/>
              <w:rPr>
                <w:b/>
                <w:sz w:val="24"/>
              </w:rPr>
            </w:pPr>
            <w:r>
              <w:rPr>
                <w:snapToGrid w:val="0"/>
              </w:rPr>
              <w:t xml:space="preserve">                          </w:t>
            </w:r>
            <w:r>
              <w:rPr>
                <w:b/>
                <w:sz w:val="24"/>
              </w:rPr>
              <w:t xml:space="preserve">   </w:t>
            </w:r>
            <w:r>
              <w:rPr>
                <w:rFonts w:hint="eastAsia"/>
                <w:b/>
                <w:sz w:val="24"/>
              </w:rPr>
              <w:t>（盖</w:t>
            </w:r>
            <w:r>
              <w:rPr>
                <w:b/>
                <w:sz w:val="24"/>
              </w:rPr>
              <w:t xml:space="preserve">  </w:t>
            </w:r>
            <w:r>
              <w:rPr>
                <w:rFonts w:hint="eastAsia"/>
                <w:b/>
                <w:sz w:val="24"/>
              </w:rPr>
              <w:t>章）</w:t>
            </w:r>
          </w:p>
          <w:p>
            <w:pPr>
              <w:jc w:val="center"/>
              <w:rPr>
                <w:b/>
                <w:sz w:val="24"/>
              </w:rPr>
            </w:pPr>
            <w:r>
              <w:rPr>
                <w:snapToGrid w:val="0"/>
              </w:rPr>
              <w:t xml:space="preserve">                              </w:t>
            </w:r>
            <w:r>
              <w:rPr>
                <w:snapToGrid w:val="0"/>
                <w:sz w:val="24"/>
                <w:u w:val="single"/>
              </w:rPr>
              <w:t xml:space="preserve">      </w:t>
            </w:r>
            <w:r>
              <w:rPr>
                <w:rFonts w:hint="eastAsia"/>
                <w:b/>
                <w:sz w:val="24"/>
              </w:rPr>
              <w:t>年</w:t>
            </w:r>
            <w:r>
              <w:rPr>
                <w:sz w:val="24"/>
                <w:u w:val="single"/>
              </w:rPr>
              <w:t xml:space="preserve">     </w:t>
            </w:r>
            <w:r>
              <w:rPr>
                <w:rFonts w:hint="eastAsia"/>
                <w:b/>
                <w:sz w:val="24"/>
              </w:rPr>
              <w:t>月</w:t>
            </w:r>
            <w:r>
              <w:rPr>
                <w:sz w:val="24"/>
                <w:u w:val="single"/>
              </w:rPr>
              <w:t xml:space="preserve">     </w:t>
            </w:r>
            <w:r>
              <w:rPr>
                <w:rFonts w:hint="eastAsia"/>
                <w:b/>
                <w:sz w:val="24"/>
              </w:rPr>
              <w:t>日</w:t>
            </w:r>
          </w:p>
          <w:p>
            <w:pPr>
              <w:rPr>
                <w:b/>
              </w:rPr>
            </w:pPr>
          </w:p>
          <w:p>
            <w:pPr>
              <w:rPr>
                <w:b/>
              </w:rPr>
            </w:pPr>
          </w:p>
        </w:tc>
      </w:tr>
    </w:tbl>
    <w:p>
      <w:pPr>
        <w:rPr>
          <w:rFonts w:ascii="黑体" w:hAnsi="黑体" w:eastAsia="黑体"/>
          <w:sz w:val="32"/>
          <w:szCs w:val="32"/>
        </w:rPr>
      </w:pPr>
      <w:r>
        <w:rPr>
          <w:rFonts w:hint="eastAsia" w:ascii="宋体" w:hAnsi="宋体"/>
        </w:rPr>
        <w:t>注：备案编号由行业主管部门简称、企业备案受理单位所在地行政区划代码、年份、流水号及跨区域（</w:t>
      </w:r>
      <w:r>
        <w:rPr>
          <w:rFonts w:ascii="宋体" w:hAnsi="宋体"/>
        </w:rPr>
        <w:t>K</w:t>
      </w:r>
      <w:r>
        <w:rPr>
          <w:rFonts w:hint="eastAsia" w:ascii="宋体" w:hAnsi="宋体"/>
        </w:rPr>
        <w:t>）表征字母组成。例如，</w:t>
      </w:r>
      <w:r>
        <w:rPr>
          <w:rFonts w:ascii="宋体" w:hAnsi="宋体"/>
        </w:rPr>
        <w:t xml:space="preserve">2017 </w:t>
      </w:r>
      <w:r>
        <w:rPr>
          <w:rFonts w:hint="eastAsia" w:ascii="宋体" w:hAnsi="宋体"/>
        </w:rPr>
        <w:t>年，湖北省阳新县安全监管局办理某非跨区域企业应急预案备案，是当年受理的第</w:t>
      </w:r>
      <w:r>
        <w:rPr>
          <w:rFonts w:ascii="宋体" w:hAnsi="宋体"/>
        </w:rPr>
        <w:t>7</w:t>
      </w:r>
      <w:r>
        <w:rPr>
          <w:rFonts w:hint="eastAsia" w:ascii="宋体" w:hAnsi="宋体"/>
        </w:rPr>
        <w:t>个备案，则编号为：安监</w:t>
      </w:r>
      <w:r>
        <w:rPr>
          <w:rFonts w:ascii="宋体" w:hAnsi="宋体"/>
        </w:rPr>
        <w:t>420222-2017-0007</w:t>
      </w:r>
      <w:r>
        <w:rPr>
          <w:rFonts w:hint="eastAsia" w:ascii="宋体" w:hAnsi="宋体"/>
        </w:rPr>
        <w:t>；如果是跨区域的企业，则编号为：安监</w:t>
      </w:r>
      <w:r>
        <w:rPr>
          <w:rFonts w:ascii="宋体" w:hAnsi="宋体"/>
        </w:rPr>
        <w:t>420222-2017-0007-K</w:t>
      </w:r>
      <w:r>
        <w:rPr>
          <w:rFonts w:hint="eastAsia" w:ascii="宋体" w:hAnsi="宋体"/>
        </w:rPr>
        <w:t>。</w:t>
      </w:r>
    </w:p>
    <w:sectPr>
      <w:headerReference r:id="rId4" w:type="default"/>
      <w:footerReference r:id="rId5"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Mongolian Baiti">
    <w:panose1 w:val="03000500000000000000"/>
    <w:charset w:val="00"/>
    <w:family w:val="auto"/>
    <w:pitch w:val="default"/>
    <w:sig w:usb0="80000023" w:usb1="00000000" w:usb2="0002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Mongolian Baiti"/>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C46B0"/>
    <w:rsid w:val="0001173C"/>
    <w:rsid w:val="000145B4"/>
    <w:rsid w:val="00026D0F"/>
    <w:rsid w:val="00037E3E"/>
    <w:rsid w:val="000460FD"/>
    <w:rsid w:val="00054022"/>
    <w:rsid w:val="00067476"/>
    <w:rsid w:val="00072030"/>
    <w:rsid w:val="000721C0"/>
    <w:rsid w:val="00092E4C"/>
    <w:rsid w:val="000A083B"/>
    <w:rsid w:val="000B2ED7"/>
    <w:rsid w:val="000B5FCE"/>
    <w:rsid w:val="000D105B"/>
    <w:rsid w:val="000D47F1"/>
    <w:rsid w:val="000F3D3C"/>
    <w:rsid w:val="001060D5"/>
    <w:rsid w:val="00117442"/>
    <w:rsid w:val="00136F5C"/>
    <w:rsid w:val="001422BB"/>
    <w:rsid w:val="0014646C"/>
    <w:rsid w:val="0014654D"/>
    <w:rsid w:val="00164AAA"/>
    <w:rsid w:val="001701F4"/>
    <w:rsid w:val="0017049D"/>
    <w:rsid w:val="00170836"/>
    <w:rsid w:val="00171DCF"/>
    <w:rsid w:val="00175E69"/>
    <w:rsid w:val="001A7576"/>
    <w:rsid w:val="001A780B"/>
    <w:rsid w:val="001C1BE8"/>
    <w:rsid w:val="001C2506"/>
    <w:rsid w:val="001C7EDB"/>
    <w:rsid w:val="001D0AFA"/>
    <w:rsid w:val="001D33EC"/>
    <w:rsid w:val="001D3742"/>
    <w:rsid w:val="001D464B"/>
    <w:rsid w:val="001F6469"/>
    <w:rsid w:val="0020608C"/>
    <w:rsid w:val="002135BE"/>
    <w:rsid w:val="00214698"/>
    <w:rsid w:val="002275B3"/>
    <w:rsid w:val="002313E0"/>
    <w:rsid w:val="00233B2F"/>
    <w:rsid w:val="0023409B"/>
    <w:rsid w:val="00251AAB"/>
    <w:rsid w:val="002552D9"/>
    <w:rsid w:val="00260D56"/>
    <w:rsid w:val="00264FD5"/>
    <w:rsid w:val="002734B9"/>
    <w:rsid w:val="002A1FD4"/>
    <w:rsid w:val="002A45AD"/>
    <w:rsid w:val="002A5CE2"/>
    <w:rsid w:val="002B4924"/>
    <w:rsid w:val="002B6AC3"/>
    <w:rsid w:val="002B7F9D"/>
    <w:rsid w:val="002D0CC5"/>
    <w:rsid w:val="002D12FA"/>
    <w:rsid w:val="002D7CD1"/>
    <w:rsid w:val="002E144B"/>
    <w:rsid w:val="002E7A7B"/>
    <w:rsid w:val="00307D28"/>
    <w:rsid w:val="00310ECB"/>
    <w:rsid w:val="00311A5B"/>
    <w:rsid w:val="003133A1"/>
    <w:rsid w:val="0032278B"/>
    <w:rsid w:val="00322CBB"/>
    <w:rsid w:val="00325CD0"/>
    <w:rsid w:val="003260EA"/>
    <w:rsid w:val="0033653C"/>
    <w:rsid w:val="00343B6E"/>
    <w:rsid w:val="00344E77"/>
    <w:rsid w:val="003456D1"/>
    <w:rsid w:val="00350E72"/>
    <w:rsid w:val="0037292F"/>
    <w:rsid w:val="0038130E"/>
    <w:rsid w:val="00382D8D"/>
    <w:rsid w:val="0038594E"/>
    <w:rsid w:val="00385ACC"/>
    <w:rsid w:val="00392727"/>
    <w:rsid w:val="00397A2C"/>
    <w:rsid w:val="00397AA2"/>
    <w:rsid w:val="003A364B"/>
    <w:rsid w:val="003C2DD0"/>
    <w:rsid w:val="003C3A6F"/>
    <w:rsid w:val="003C41CF"/>
    <w:rsid w:val="003D155F"/>
    <w:rsid w:val="003E458B"/>
    <w:rsid w:val="003E4D65"/>
    <w:rsid w:val="00402BE5"/>
    <w:rsid w:val="00403931"/>
    <w:rsid w:val="0040449C"/>
    <w:rsid w:val="00413FFC"/>
    <w:rsid w:val="00423079"/>
    <w:rsid w:val="00427A95"/>
    <w:rsid w:val="0044280B"/>
    <w:rsid w:val="00453119"/>
    <w:rsid w:val="00456EE8"/>
    <w:rsid w:val="00457BD1"/>
    <w:rsid w:val="00460C17"/>
    <w:rsid w:val="0046185F"/>
    <w:rsid w:val="00461F8B"/>
    <w:rsid w:val="004645BE"/>
    <w:rsid w:val="0047766F"/>
    <w:rsid w:val="00483587"/>
    <w:rsid w:val="004976D8"/>
    <w:rsid w:val="004A5A63"/>
    <w:rsid w:val="004B1952"/>
    <w:rsid w:val="004B346D"/>
    <w:rsid w:val="004B3C1E"/>
    <w:rsid w:val="004C2EAB"/>
    <w:rsid w:val="004C51E5"/>
    <w:rsid w:val="004D217C"/>
    <w:rsid w:val="004E1780"/>
    <w:rsid w:val="004E3FB1"/>
    <w:rsid w:val="004F09FE"/>
    <w:rsid w:val="005027B5"/>
    <w:rsid w:val="005172F9"/>
    <w:rsid w:val="00530BBF"/>
    <w:rsid w:val="00531A3C"/>
    <w:rsid w:val="00532739"/>
    <w:rsid w:val="0054559E"/>
    <w:rsid w:val="00552D4F"/>
    <w:rsid w:val="005777B2"/>
    <w:rsid w:val="005826CF"/>
    <w:rsid w:val="00587D1C"/>
    <w:rsid w:val="005A1A2E"/>
    <w:rsid w:val="005A3D30"/>
    <w:rsid w:val="005A7598"/>
    <w:rsid w:val="005B0449"/>
    <w:rsid w:val="005B7CE3"/>
    <w:rsid w:val="005C7D7E"/>
    <w:rsid w:val="005D1D4F"/>
    <w:rsid w:val="005E31B3"/>
    <w:rsid w:val="005E46E2"/>
    <w:rsid w:val="005E4AC0"/>
    <w:rsid w:val="005E4C79"/>
    <w:rsid w:val="005E703E"/>
    <w:rsid w:val="005F0706"/>
    <w:rsid w:val="005F1709"/>
    <w:rsid w:val="005F2FC5"/>
    <w:rsid w:val="00600BC3"/>
    <w:rsid w:val="00601F49"/>
    <w:rsid w:val="006023AD"/>
    <w:rsid w:val="00627206"/>
    <w:rsid w:val="00630A9D"/>
    <w:rsid w:val="0064229C"/>
    <w:rsid w:val="00644EB4"/>
    <w:rsid w:val="00646751"/>
    <w:rsid w:val="0065402A"/>
    <w:rsid w:val="0066281D"/>
    <w:rsid w:val="0066326E"/>
    <w:rsid w:val="0067130F"/>
    <w:rsid w:val="006723F2"/>
    <w:rsid w:val="00672BB8"/>
    <w:rsid w:val="00682FD9"/>
    <w:rsid w:val="00685345"/>
    <w:rsid w:val="006933F0"/>
    <w:rsid w:val="00693619"/>
    <w:rsid w:val="006B0AC4"/>
    <w:rsid w:val="006C7DF6"/>
    <w:rsid w:val="006E241B"/>
    <w:rsid w:val="006E647C"/>
    <w:rsid w:val="006F6D40"/>
    <w:rsid w:val="0070328A"/>
    <w:rsid w:val="00710108"/>
    <w:rsid w:val="00711EE0"/>
    <w:rsid w:val="00714E5E"/>
    <w:rsid w:val="0071758A"/>
    <w:rsid w:val="007260B4"/>
    <w:rsid w:val="00726C6C"/>
    <w:rsid w:val="00731696"/>
    <w:rsid w:val="007455A4"/>
    <w:rsid w:val="00745688"/>
    <w:rsid w:val="007567B7"/>
    <w:rsid w:val="0077375E"/>
    <w:rsid w:val="00793D34"/>
    <w:rsid w:val="007A62B0"/>
    <w:rsid w:val="007B1C57"/>
    <w:rsid w:val="007B4418"/>
    <w:rsid w:val="007B5B3B"/>
    <w:rsid w:val="007C5E2D"/>
    <w:rsid w:val="007C6DB0"/>
    <w:rsid w:val="007D2742"/>
    <w:rsid w:val="007E576B"/>
    <w:rsid w:val="007E60BA"/>
    <w:rsid w:val="007E624E"/>
    <w:rsid w:val="007E7193"/>
    <w:rsid w:val="007E7B5E"/>
    <w:rsid w:val="007F03C3"/>
    <w:rsid w:val="007F35D6"/>
    <w:rsid w:val="00804911"/>
    <w:rsid w:val="0081443C"/>
    <w:rsid w:val="0081634C"/>
    <w:rsid w:val="00823012"/>
    <w:rsid w:val="00823592"/>
    <w:rsid w:val="00826D12"/>
    <w:rsid w:val="008270A8"/>
    <w:rsid w:val="00831166"/>
    <w:rsid w:val="008363D2"/>
    <w:rsid w:val="00843893"/>
    <w:rsid w:val="00851CE9"/>
    <w:rsid w:val="00854245"/>
    <w:rsid w:val="00861AE0"/>
    <w:rsid w:val="008A1BFB"/>
    <w:rsid w:val="008A25B6"/>
    <w:rsid w:val="008A486B"/>
    <w:rsid w:val="008B4E21"/>
    <w:rsid w:val="008B537C"/>
    <w:rsid w:val="008C4044"/>
    <w:rsid w:val="008C428A"/>
    <w:rsid w:val="008C73CF"/>
    <w:rsid w:val="008D5CE2"/>
    <w:rsid w:val="008E33CF"/>
    <w:rsid w:val="008F5936"/>
    <w:rsid w:val="00904C52"/>
    <w:rsid w:val="00905388"/>
    <w:rsid w:val="009070CB"/>
    <w:rsid w:val="00907F39"/>
    <w:rsid w:val="00912FAA"/>
    <w:rsid w:val="009178B7"/>
    <w:rsid w:val="00922393"/>
    <w:rsid w:val="009269A0"/>
    <w:rsid w:val="009305CB"/>
    <w:rsid w:val="00936E5F"/>
    <w:rsid w:val="00965EE4"/>
    <w:rsid w:val="00966B1E"/>
    <w:rsid w:val="00967867"/>
    <w:rsid w:val="00970B3E"/>
    <w:rsid w:val="00975E63"/>
    <w:rsid w:val="009A0953"/>
    <w:rsid w:val="009A23C1"/>
    <w:rsid w:val="009B51F2"/>
    <w:rsid w:val="009C10C7"/>
    <w:rsid w:val="009C1DDA"/>
    <w:rsid w:val="009C61E3"/>
    <w:rsid w:val="009D4950"/>
    <w:rsid w:val="009D6F2B"/>
    <w:rsid w:val="009F2018"/>
    <w:rsid w:val="009F606B"/>
    <w:rsid w:val="00A075F5"/>
    <w:rsid w:val="00A13769"/>
    <w:rsid w:val="00A226F8"/>
    <w:rsid w:val="00A32792"/>
    <w:rsid w:val="00A51615"/>
    <w:rsid w:val="00A537A6"/>
    <w:rsid w:val="00A54781"/>
    <w:rsid w:val="00A626AC"/>
    <w:rsid w:val="00A700EF"/>
    <w:rsid w:val="00A72E67"/>
    <w:rsid w:val="00A747D0"/>
    <w:rsid w:val="00A85A1A"/>
    <w:rsid w:val="00AB1097"/>
    <w:rsid w:val="00AB6F9E"/>
    <w:rsid w:val="00AC46B0"/>
    <w:rsid w:val="00AC7182"/>
    <w:rsid w:val="00AC7B0D"/>
    <w:rsid w:val="00AE2087"/>
    <w:rsid w:val="00AE277A"/>
    <w:rsid w:val="00AE3101"/>
    <w:rsid w:val="00AE6FB5"/>
    <w:rsid w:val="00B115E2"/>
    <w:rsid w:val="00B24342"/>
    <w:rsid w:val="00B2774F"/>
    <w:rsid w:val="00B30BCF"/>
    <w:rsid w:val="00B350D9"/>
    <w:rsid w:val="00B37116"/>
    <w:rsid w:val="00B4123E"/>
    <w:rsid w:val="00B433D6"/>
    <w:rsid w:val="00B459B6"/>
    <w:rsid w:val="00B72F42"/>
    <w:rsid w:val="00B737BF"/>
    <w:rsid w:val="00B8258C"/>
    <w:rsid w:val="00BA2453"/>
    <w:rsid w:val="00BA74AF"/>
    <w:rsid w:val="00BA77ED"/>
    <w:rsid w:val="00BB225D"/>
    <w:rsid w:val="00BD2850"/>
    <w:rsid w:val="00BE0D56"/>
    <w:rsid w:val="00C06E74"/>
    <w:rsid w:val="00C07399"/>
    <w:rsid w:val="00C07526"/>
    <w:rsid w:val="00C108D4"/>
    <w:rsid w:val="00C21E0B"/>
    <w:rsid w:val="00C22502"/>
    <w:rsid w:val="00C37052"/>
    <w:rsid w:val="00C43FD9"/>
    <w:rsid w:val="00C441B4"/>
    <w:rsid w:val="00C463C4"/>
    <w:rsid w:val="00C530EE"/>
    <w:rsid w:val="00C71CF7"/>
    <w:rsid w:val="00C7533E"/>
    <w:rsid w:val="00C852B2"/>
    <w:rsid w:val="00CB0A59"/>
    <w:rsid w:val="00CB3118"/>
    <w:rsid w:val="00CB6C7F"/>
    <w:rsid w:val="00CD0846"/>
    <w:rsid w:val="00CD3168"/>
    <w:rsid w:val="00CD74AE"/>
    <w:rsid w:val="00CE4950"/>
    <w:rsid w:val="00CE5F07"/>
    <w:rsid w:val="00CF5380"/>
    <w:rsid w:val="00D2360D"/>
    <w:rsid w:val="00D315DB"/>
    <w:rsid w:val="00D708A9"/>
    <w:rsid w:val="00D74ABB"/>
    <w:rsid w:val="00D86815"/>
    <w:rsid w:val="00D90A66"/>
    <w:rsid w:val="00D95BF5"/>
    <w:rsid w:val="00DA1282"/>
    <w:rsid w:val="00DA2529"/>
    <w:rsid w:val="00DB0E4E"/>
    <w:rsid w:val="00DB6B22"/>
    <w:rsid w:val="00DC5992"/>
    <w:rsid w:val="00DC6D9F"/>
    <w:rsid w:val="00DD7CD1"/>
    <w:rsid w:val="00DE089C"/>
    <w:rsid w:val="00DE4E13"/>
    <w:rsid w:val="00DF40FF"/>
    <w:rsid w:val="00E02916"/>
    <w:rsid w:val="00E10617"/>
    <w:rsid w:val="00E15F78"/>
    <w:rsid w:val="00E15F82"/>
    <w:rsid w:val="00E17B15"/>
    <w:rsid w:val="00E17CDF"/>
    <w:rsid w:val="00E243F1"/>
    <w:rsid w:val="00E27C17"/>
    <w:rsid w:val="00E37B6E"/>
    <w:rsid w:val="00E407DA"/>
    <w:rsid w:val="00E506FA"/>
    <w:rsid w:val="00E615D7"/>
    <w:rsid w:val="00E64BBA"/>
    <w:rsid w:val="00E81A37"/>
    <w:rsid w:val="00E872A3"/>
    <w:rsid w:val="00EA2905"/>
    <w:rsid w:val="00EA61BA"/>
    <w:rsid w:val="00EB19FA"/>
    <w:rsid w:val="00EB200D"/>
    <w:rsid w:val="00EC5031"/>
    <w:rsid w:val="00EC7014"/>
    <w:rsid w:val="00ED0D98"/>
    <w:rsid w:val="00ED55AA"/>
    <w:rsid w:val="00EE50C8"/>
    <w:rsid w:val="00EF1F1C"/>
    <w:rsid w:val="00EF34B7"/>
    <w:rsid w:val="00F024FD"/>
    <w:rsid w:val="00F03EB3"/>
    <w:rsid w:val="00F06525"/>
    <w:rsid w:val="00F166E4"/>
    <w:rsid w:val="00F25C56"/>
    <w:rsid w:val="00F3254D"/>
    <w:rsid w:val="00F525BE"/>
    <w:rsid w:val="00F54EE2"/>
    <w:rsid w:val="00F658C7"/>
    <w:rsid w:val="00F767C7"/>
    <w:rsid w:val="00F77FB4"/>
    <w:rsid w:val="00F805D4"/>
    <w:rsid w:val="00F82D5C"/>
    <w:rsid w:val="00F84BD6"/>
    <w:rsid w:val="00F86654"/>
    <w:rsid w:val="00FA4356"/>
    <w:rsid w:val="00FA50E9"/>
    <w:rsid w:val="00FC2B6C"/>
    <w:rsid w:val="00FD59CA"/>
    <w:rsid w:val="00FD6888"/>
    <w:rsid w:val="00FE2814"/>
    <w:rsid w:val="00FF418E"/>
    <w:rsid w:val="00FF4501"/>
    <w:rsid w:val="00FF4955"/>
    <w:rsid w:val="010837A6"/>
    <w:rsid w:val="039E54F6"/>
    <w:rsid w:val="04CE4726"/>
    <w:rsid w:val="08FE112C"/>
    <w:rsid w:val="090E50EE"/>
    <w:rsid w:val="0CC64317"/>
    <w:rsid w:val="104F00F4"/>
    <w:rsid w:val="169E4C51"/>
    <w:rsid w:val="178257BA"/>
    <w:rsid w:val="1D01515E"/>
    <w:rsid w:val="30E86170"/>
    <w:rsid w:val="361D0A5B"/>
    <w:rsid w:val="3800232B"/>
    <w:rsid w:val="38E86970"/>
    <w:rsid w:val="3ACA7E84"/>
    <w:rsid w:val="3D9F6425"/>
    <w:rsid w:val="40255B4D"/>
    <w:rsid w:val="41FF5BD1"/>
    <w:rsid w:val="45FF17E8"/>
    <w:rsid w:val="475F6285"/>
    <w:rsid w:val="4833687C"/>
    <w:rsid w:val="49956A45"/>
    <w:rsid w:val="4F9346D0"/>
    <w:rsid w:val="5FCE5DB8"/>
    <w:rsid w:val="63F7599C"/>
    <w:rsid w:val="66C3072C"/>
    <w:rsid w:val="67F34706"/>
    <w:rsid w:val="6D1A3F4A"/>
    <w:rsid w:val="6E8D5E87"/>
    <w:rsid w:val="70170EC8"/>
    <w:rsid w:val="74083C95"/>
    <w:rsid w:val="76B54DD4"/>
    <w:rsid w:val="79EB4150"/>
    <w:rsid w:val="7CDA187B"/>
    <w:rsid w:val="7F3B07C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ongolian Bait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annotation subject"/>
    <w:basedOn w:val="3"/>
    <w:next w:val="3"/>
    <w:link w:val="14"/>
    <w:semiHidden/>
    <w:qFormat/>
    <w:uiPriority w:val="99"/>
    <w:rPr>
      <w:b/>
      <w:bCs/>
    </w:rPr>
  </w:style>
  <w:style w:type="paragraph" w:styleId="3">
    <w:name w:val="annotation text"/>
    <w:basedOn w:val="1"/>
    <w:link w:val="13"/>
    <w:semiHidden/>
    <w:qFormat/>
    <w:uiPriority w:val="99"/>
    <w:pPr>
      <w:jc w:val="left"/>
    </w:pPr>
  </w:style>
  <w:style w:type="paragraph" w:styleId="4">
    <w:name w:val="Document Map"/>
    <w:basedOn w:val="1"/>
    <w:link w:val="17"/>
    <w:unhideWhenUsed/>
    <w:qFormat/>
    <w:uiPriority w:val="99"/>
    <w:rPr>
      <w:rFonts w:ascii="宋体"/>
      <w:sz w:val="18"/>
      <w:szCs w:val="18"/>
    </w:rPr>
  </w:style>
  <w:style w:type="paragraph" w:styleId="5">
    <w:name w:val="Balloon Text"/>
    <w:basedOn w:val="1"/>
    <w:link w:val="12"/>
    <w:semiHidden/>
    <w:qFormat/>
    <w:uiPriority w:val="99"/>
    <w:rPr>
      <w:sz w:val="18"/>
      <w:szCs w:val="18"/>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qFormat/>
    <w:uiPriority w:val="99"/>
    <w:rPr>
      <w:rFonts w:cs="Times New Roman"/>
      <w:sz w:val="21"/>
      <w:szCs w:val="21"/>
    </w:rPr>
  </w:style>
  <w:style w:type="paragraph" w:customStyle="1" w:styleId="11">
    <w:name w:val="修订1"/>
    <w:hidden/>
    <w:unhideWhenUsed/>
    <w:qFormat/>
    <w:uiPriority w:val="99"/>
    <w:rPr>
      <w:rFonts w:ascii="Calibri" w:hAnsi="Calibri" w:eastAsia="宋体" w:cs="Mongolian Baiti"/>
      <w:kern w:val="2"/>
      <w:sz w:val="21"/>
      <w:szCs w:val="22"/>
      <w:lang w:val="en-US" w:eastAsia="zh-CN" w:bidi="ar-SA"/>
    </w:rPr>
  </w:style>
  <w:style w:type="character" w:customStyle="1" w:styleId="12">
    <w:name w:val="批注框文本 Char"/>
    <w:basedOn w:val="8"/>
    <w:link w:val="5"/>
    <w:semiHidden/>
    <w:locked/>
    <w:uiPriority w:val="99"/>
    <w:rPr>
      <w:rFonts w:cs="Times New Roman"/>
      <w:sz w:val="18"/>
      <w:szCs w:val="18"/>
    </w:rPr>
  </w:style>
  <w:style w:type="character" w:customStyle="1" w:styleId="13">
    <w:name w:val="批注文字 Char"/>
    <w:basedOn w:val="8"/>
    <w:link w:val="3"/>
    <w:semiHidden/>
    <w:qFormat/>
    <w:locked/>
    <w:uiPriority w:val="99"/>
    <w:rPr>
      <w:rFonts w:cs="Times New Roman"/>
    </w:rPr>
  </w:style>
  <w:style w:type="character" w:customStyle="1" w:styleId="14">
    <w:name w:val="批注主题 Char"/>
    <w:basedOn w:val="13"/>
    <w:link w:val="2"/>
    <w:semiHidden/>
    <w:qFormat/>
    <w:locked/>
    <w:uiPriority w:val="99"/>
    <w:rPr>
      <w:rFonts w:cs="Times New Roman"/>
      <w:b/>
      <w:bCs/>
    </w:rPr>
  </w:style>
  <w:style w:type="character" w:customStyle="1" w:styleId="15">
    <w:name w:val="页眉 Char"/>
    <w:basedOn w:val="8"/>
    <w:link w:val="7"/>
    <w:semiHidden/>
    <w:qFormat/>
    <w:locked/>
    <w:uiPriority w:val="99"/>
    <w:rPr>
      <w:rFonts w:cs="Times New Roman"/>
      <w:sz w:val="18"/>
      <w:szCs w:val="18"/>
    </w:rPr>
  </w:style>
  <w:style w:type="character" w:customStyle="1" w:styleId="16">
    <w:name w:val="页脚 Char"/>
    <w:basedOn w:val="8"/>
    <w:link w:val="6"/>
    <w:semiHidden/>
    <w:qFormat/>
    <w:locked/>
    <w:uiPriority w:val="99"/>
    <w:rPr>
      <w:rFonts w:cs="Times New Roman"/>
      <w:sz w:val="18"/>
      <w:szCs w:val="18"/>
    </w:rPr>
  </w:style>
  <w:style w:type="character" w:customStyle="1" w:styleId="17">
    <w:name w:val="文档结构图 Char"/>
    <w:basedOn w:val="8"/>
    <w:link w:val="4"/>
    <w:semiHidden/>
    <w:uiPriority w:val="99"/>
    <w:rPr>
      <w:rFonts w:ascii="宋体"/>
      <w:kern w:val="2"/>
      <w:sz w:val="18"/>
      <w:szCs w:val="18"/>
      <w:lang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1332</Words>
  <Characters>7596</Characters>
  <Lines>63</Lines>
  <Paragraphs>17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2017-10-23T01:36:00Z</dcterms:created>
  <dc:creator>Administrator</dc:creator>
  <cp:lastModifiedBy>Administrator</cp:lastModifiedBy>
  <cp:lastPrinted>2017-11-07T07:21:00Z</cp:lastPrinted>
  <dcterms:modified xsi:type="dcterms:W3CDTF">2017-12-06T00:57:11Z</dcterms:modified>
  <dc:title>湖北省生产安全事故应急预案管理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