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各市（州）、直管市、神农架林区人民政府，省安委会有关成员单位，省安全生产各专业委员会：</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为切实推进全省安全生产督查1443条问题隐患（</w:t>
      </w:r>
      <w:r>
        <w:rPr>
          <w:rFonts w:hint="eastAsia" w:ascii="仿宋_GB2312" w:hAnsi="仿宋_GB2312" w:eastAsia="仿宋_GB2312" w:cs="仿宋_GB2312"/>
          <w:sz w:val="32"/>
          <w:szCs w:val="32"/>
        </w:rPr>
        <w:t>详见省委办公厅《督办通报》第2期</w:t>
      </w:r>
      <w:r>
        <w:rPr>
          <w:rFonts w:hint="eastAsia" w:ascii="仿宋_GB2312" w:hAnsi="仿宋_GB2312" w:eastAsia="仿宋_GB2312" w:cs="仿宋_GB2312"/>
          <w:kern w:val="0"/>
          <w:sz w:val="32"/>
          <w:szCs w:val="32"/>
        </w:rPr>
        <w:t>）整改落实，经报请省政府同意，按照《湖北省安全生产重大事故隐患挂牌督办办法》，省安委会决定对全省安全生产督查发现的1443条安全隐患中的10家企业12条重大安全隐患进行挂牌督办（见附件）。现将有关事项通知如下：</w:t>
      </w:r>
    </w:p>
    <w:p>
      <w:pPr>
        <w:widowControl/>
        <w:spacing w:line="600" w:lineRule="exact"/>
        <w:ind w:firstLine="640"/>
        <w:rPr>
          <w:rFonts w:hint="eastAsia" w:ascii="仿宋_GB2312" w:hAnsi="仿宋_GB2312" w:eastAsia="仿宋_GB2312" w:cs="仿宋_GB2312"/>
          <w:kern w:val="0"/>
          <w:sz w:val="32"/>
          <w:szCs w:val="32"/>
        </w:rPr>
      </w:pPr>
      <w:r>
        <w:rPr>
          <w:rFonts w:hint="eastAsia" w:ascii="黑体" w:hAnsi="黑体" w:eastAsia="黑体" w:cs="宋体"/>
          <w:kern w:val="0"/>
          <w:sz w:val="32"/>
          <w:szCs w:val="32"/>
        </w:rPr>
        <w:t>一、认真落实整改责任。</w:t>
      </w:r>
      <w:r>
        <w:rPr>
          <w:rFonts w:hint="eastAsia" w:ascii="仿宋_GB2312" w:hAnsi="仿宋_GB2312" w:eastAsia="仿宋_GB2312" w:cs="仿宋_GB2312"/>
          <w:kern w:val="0"/>
          <w:sz w:val="32"/>
          <w:szCs w:val="32"/>
        </w:rPr>
        <w:t>各地、各有关部门和单位要坚持“人民至上、生命至上”的理念，按照“党政同责、一岗双责、齐抓共管、失职追责”和“三管三必须”的原则，落实企业主体责任、行业监管责任和属地管理责任，扎实开展挂牌重大隐患整改治理工作。同时，要结合实际，认真开展隐患排查，挂牌一批本地区、本行业领域重大安全隐患。</w:t>
      </w:r>
    </w:p>
    <w:p>
      <w:pPr>
        <w:widowControl/>
        <w:spacing w:line="600" w:lineRule="exact"/>
        <w:rPr>
          <w:rFonts w:hint="eastAsia" w:ascii="仿宋_GB2312" w:hAnsi="仿宋_GB2312" w:eastAsia="仿宋_GB2312" w:cs="仿宋_GB2312"/>
          <w:kern w:val="0"/>
          <w:sz w:val="32"/>
          <w:szCs w:val="32"/>
        </w:rPr>
      </w:pPr>
      <w:r>
        <w:rPr>
          <w:rFonts w:hint="eastAsia" w:ascii="黑体" w:hAnsi="黑体" w:eastAsia="黑体" w:cs="宋体"/>
          <w:kern w:val="0"/>
          <w:sz w:val="32"/>
          <w:szCs w:val="32"/>
        </w:rPr>
        <w:t xml:space="preserve">    二、狠抓隐患整改督办。</w:t>
      </w:r>
      <w:r>
        <w:rPr>
          <w:rFonts w:hint="eastAsia" w:ascii="仿宋_GB2312" w:hAnsi="仿宋_GB2312" w:eastAsia="仿宋_GB2312" w:cs="仿宋_GB2312"/>
          <w:kern w:val="0"/>
          <w:sz w:val="32"/>
          <w:szCs w:val="32"/>
        </w:rPr>
        <w:t>各地、各有关部门和单位要建立政府领导协调、部门强化督办、单位整改落实的工作机制，按照“一隐患一专班、一隐患一方案”和“五落实”（责任、措施、资金、期限和应急预案）要求，细化整改方案，狠抓整改落实。各隐患治理责任单位整改方案自收到通知之日起30日内报督办单位审定。在隐患整改期间，各督办单位要加强隐患整改全程跟踪督办，及时协调解决整改过程中存在的问题，按季度将隐患整改进展情况报送省安委办，直至隐患整改按期销号。省安委办将定期调度各地各部门（单位）隐患整改进展情况，适时开展重大隐患整改情况专项督查，定期进行情况通报。</w:t>
      </w:r>
    </w:p>
    <w:p>
      <w:pPr>
        <w:widowControl/>
        <w:spacing w:line="600" w:lineRule="exact"/>
        <w:ind w:firstLine="640"/>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三、认真落实隐患整改核查验收。</w:t>
      </w:r>
      <w:r>
        <w:rPr>
          <w:rFonts w:hint="eastAsia" w:ascii="仿宋_GB2312" w:hAnsi="仿宋_GB2312" w:eastAsia="仿宋_GB2312" w:cs="仿宋_GB2312"/>
          <w:kern w:val="0"/>
          <w:sz w:val="32"/>
          <w:szCs w:val="32"/>
        </w:rPr>
        <w:t>隐患整改工作完成后，各隐患治理责任单位要严格按照销号程序及时向督办单位报送书面验收申请，由督办单位组织专家实地核查验收。经验收合格的，报省安委会办公室申请复查销号。各地、各有关部门（专委会）挂牌督办重大隐患整改治理情况将纳入2021年度安全生产目标考核重要内容，凡未按规定数量挂牌督办或省级挂牌督办隐患申请延期整改的地区和部门，均要扣减相应分数。对整改督办责任不落实而导致生产安全事故的，将依法依规追究相关责任单位和责任人员的责任。</w:t>
      </w:r>
    </w:p>
    <w:p>
      <w:pPr>
        <w:widowControl/>
        <w:spacing w:line="6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联系人：施双喜、周信凯，电话：027-63962223、87362510；邮箱：</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HYPERLINK "mailto:122719043@qq.com。"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122719043</w:t>
      </w:r>
      <w:r>
        <w:rPr>
          <w:rFonts w:eastAsia="仿宋_GB2312"/>
          <w:kern w:val="0"/>
          <w:sz w:val="32"/>
          <w:szCs w:val="32"/>
        </w:rPr>
        <w:t>@</w:t>
      </w:r>
      <w:r>
        <w:rPr>
          <w:rFonts w:hint="eastAsia" w:ascii="仿宋_GB2312" w:hAnsi="仿宋_GB2312" w:eastAsia="仿宋_GB2312" w:cs="仿宋_GB2312"/>
          <w:kern w:val="0"/>
          <w:sz w:val="32"/>
          <w:szCs w:val="32"/>
        </w:rPr>
        <w:t>qq.com。</w:t>
      </w:r>
      <w:r>
        <w:rPr>
          <w:rFonts w:hint="eastAsia" w:ascii="仿宋_GB2312" w:hAnsi="仿宋_GB2312" w:eastAsia="仿宋_GB2312" w:cs="仿宋_GB2312"/>
          <w:kern w:val="0"/>
          <w:sz w:val="32"/>
          <w:szCs w:val="32"/>
        </w:rPr>
        <w:fldChar w:fldCharType="end"/>
      </w:r>
    </w:p>
    <w:p>
      <w:pPr>
        <w:widowControl/>
        <w:spacing w:line="600" w:lineRule="exact"/>
        <w:ind w:firstLine="640" w:firstLineChars="200"/>
        <w:rPr>
          <w:rFonts w:hint="eastAsia" w:ascii="仿宋_GB2312" w:hAnsi="仿宋_GB2312" w:eastAsia="仿宋_GB2312" w:cs="仿宋_GB2312"/>
          <w:kern w:val="0"/>
          <w:sz w:val="32"/>
          <w:szCs w:val="32"/>
        </w:rPr>
      </w:pP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附件：省安委会2021年挂牌督办重大安全隐患一览表</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（第二批）</w:t>
      </w:r>
    </w:p>
    <w:p>
      <w:pPr>
        <w:widowControl/>
        <w:spacing w:line="600" w:lineRule="exact"/>
        <w:ind w:firstLine="3680" w:firstLineChars="1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pacing w:line="600" w:lineRule="exact"/>
        <w:ind w:firstLine="3680" w:firstLineChars="1150"/>
        <w:rPr>
          <w:rFonts w:hint="eastAsia" w:ascii="仿宋_GB2312" w:hAnsi="仿宋_GB2312" w:eastAsia="仿宋_GB2312" w:cs="仿宋_GB2312"/>
          <w:kern w:val="0"/>
          <w:sz w:val="32"/>
          <w:szCs w:val="32"/>
        </w:rPr>
      </w:pPr>
    </w:p>
    <w:p>
      <w:pPr>
        <w:widowControl/>
        <w:spacing w:line="600" w:lineRule="exact"/>
        <w:ind w:firstLine="3680" w:firstLineChars="1150"/>
        <w:rPr>
          <w:rFonts w:hint="eastAsia" w:ascii="仿宋_GB2312" w:hAnsi="仿宋_GB2312" w:eastAsia="仿宋_GB2312" w:cs="仿宋_GB2312"/>
          <w:kern w:val="0"/>
          <w:sz w:val="32"/>
          <w:szCs w:val="32"/>
        </w:rPr>
      </w:pPr>
    </w:p>
    <w:p>
      <w:pPr>
        <w:widowControl/>
        <w:spacing w:line="600" w:lineRule="exact"/>
        <w:ind w:firstLine="3680" w:firstLineChars="1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湖北省安全生产委员会</w:t>
      </w:r>
    </w:p>
    <w:p>
      <w:pPr>
        <w:widowControl/>
        <w:spacing w:line="600" w:lineRule="exact"/>
        <w:ind w:firstLine="4160" w:firstLineChars="1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2021年8月8日</w:t>
      </w:r>
    </w:p>
    <w:p>
      <w:pPr>
        <w:pStyle w:val="4"/>
        <w:widowControl w:val="0"/>
        <w:snapToGrid w:val="0"/>
        <w:spacing w:before="0" w:beforeAutospacing="0" w:after="0" w:afterAutospacing="0" w:line="600" w:lineRule="exact"/>
        <w:jc w:val="center"/>
        <w:rPr>
          <w:rFonts w:hint="eastAsia" w:ascii="方正小标宋简体" w:hAnsi="方正小标宋简体" w:eastAsia="方正小标宋简体" w:cs="方正小标宋简体"/>
          <w:sz w:val="40"/>
          <w:szCs w:val="48"/>
        </w:rPr>
        <w:sectPr>
          <w:headerReference r:id="rId3" w:type="default"/>
          <w:footerReference r:id="rId5" w:type="default"/>
          <w:headerReference r:id="rId4" w:type="even"/>
          <w:footerReference r:id="rId6" w:type="even"/>
          <w:pgSz w:w="11906" w:h="16838"/>
          <w:pgMar w:top="1837" w:right="1497" w:bottom="1440" w:left="1497" w:header="851" w:footer="1134" w:gutter="0"/>
          <w:cols w:space="720" w:num="1"/>
          <w:docGrid w:type="lines" w:linePitch="318" w:charSpace="0"/>
        </w:sectPr>
      </w:pPr>
    </w:p>
    <w:p>
      <w:pPr>
        <w:pStyle w:val="4"/>
        <w:widowControl w:val="0"/>
        <w:snapToGrid w:val="0"/>
        <w:spacing w:beforeAutospacing="0" w:afterAutospacing="0"/>
        <w:rPr>
          <w:rFonts w:hint="eastAsia" w:ascii="黑体" w:hAnsi="黑体" w:eastAsia="黑体" w:cs="黑体"/>
          <w:sz w:val="32"/>
          <w:szCs w:val="32"/>
        </w:rPr>
      </w:pPr>
      <w:r>
        <w:rPr>
          <w:rFonts w:hint="eastAsia" w:ascii="黑体" w:hAnsi="黑体" w:eastAsia="黑体" w:cs="黑体"/>
          <w:sz w:val="32"/>
          <w:szCs w:val="32"/>
        </w:rPr>
        <w:t>附件</w:t>
      </w:r>
    </w:p>
    <w:p>
      <w:pPr>
        <w:pStyle w:val="4"/>
        <w:widowControl w:val="0"/>
        <w:snapToGrid w:val="0"/>
        <w:spacing w:beforeAutospacing="0" w:afterAutospacing="0"/>
        <w:jc w:val="center"/>
        <w:rPr>
          <w:rFonts w:hint="eastAsia"/>
          <w:sz w:val="36"/>
          <w:szCs w:val="36"/>
        </w:rPr>
      </w:pPr>
      <w:bookmarkStart w:id="0" w:name="_GoBack"/>
      <w:r>
        <w:rPr>
          <w:rFonts w:hint="eastAsia" w:ascii="方正小标宋简体" w:hAnsi="方正小标宋简体" w:eastAsia="方正小标宋简体" w:cs="方正小标宋简体"/>
          <w:sz w:val="36"/>
          <w:szCs w:val="36"/>
        </w:rPr>
        <w:t>省安委会2021年挂牌督办重大安全隐患一览表（第二批）</w:t>
      </w:r>
      <w:bookmarkEnd w:id="0"/>
    </w:p>
    <w:p>
      <w:pPr>
        <w:tabs>
          <w:tab w:val="left" w:pos="910"/>
        </w:tabs>
        <w:spacing w:line="240" w:lineRule="exact"/>
        <w:jc w:val="left"/>
        <w:rPr>
          <w:rFonts w:hint="eastAsia"/>
        </w:rPr>
      </w:pPr>
    </w:p>
    <w:tbl>
      <w:tblPr>
        <w:tblStyle w:val="6"/>
        <w:tblW w:w="13575" w:type="dxa"/>
        <w:jc w:val="center"/>
        <w:tblInd w:w="0" w:type="dxa"/>
        <w:tblLayout w:type="fixed"/>
        <w:tblCellMar>
          <w:top w:w="15" w:type="dxa"/>
          <w:left w:w="15" w:type="dxa"/>
          <w:bottom w:w="15" w:type="dxa"/>
          <w:right w:w="15" w:type="dxa"/>
        </w:tblCellMar>
      </w:tblPr>
      <w:tblGrid>
        <w:gridCol w:w="782"/>
        <w:gridCol w:w="1150"/>
        <w:gridCol w:w="2168"/>
        <w:gridCol w:w="4364"/>
        <w:gridCol w:w="2032"/>
        <w:gridCol w:w="1816"/>
        <w:gridCol w:w="1263"/>
      </w:tblGrid>
      <w:tr>
        <w:tblPrEx>
          <w:tblLayout w:type="fixed"/>
          <w:tblCellMar>
            <w:top w:w="15" w:type="dxa"/>
            <w:left w:w="15" w:type="dxa"/>
            <w:bottom w:w="15" w:type="dxa"/>
            <w:right w:w="15" w:type="dxa"/>
          </w:tblCellMar>
        </w:tblPrEx>
        <w:trPr>
          <w:trHeight w:val="573" w:hRule="atLeast"/>
          <w:tblHeader/>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序号</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市州</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单位名称</w:t>
            </w:r>
          </w:p>
        </w:tc>
        <w:tc>
          <w:tcPr>
            <w:tcW w:w="4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存在的问题</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督办市州</w:t>
            </w:r>
          </w:p>
        </w:tc>
        <w:tc>
          <w:tcPr>
            <w:tcW w:w="1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sz w:val="24"/>
              </w:rPr>
              <w:t>督办单位</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完成时限</w:t>
            </w:r>
          </w:p>
        </w:tc>
      </w:tr>
      <w:tr>
        <w:tblPrEx>
          <w:tblLayout w:type="fixed"/>
          <w:tblCellMar>
            <w:top w:w="15" w:type="dxa"/>
            <w:left w:w="15" w:type="dxa"/>
            <w:bottom w:w="15" w:type="dxa"/>
            <w:right w:w="15" w:type="dxa"/>
          </w:tblCellMar>
        </w:tblPrEx>
        <w:trPr>
          <w:trHeight w:val="1215"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武汉</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武汉市黄陂区木兰燃气有限公司(储配站)</w:t>
            </w:r>
          </w:p>
        </w:tc>
        <w:tc>
          <w:tcPr>
            <w:tcW w:w="43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储罐防护堤与储罐、围墙间距不足。</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武汉市人民政府</w:t>
            </w:r>
          </w:p>
        </w:tc>
        <w:tc>
          <w:tcPr>
            <w:tcW w:w="181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省住建厅</w:t>
            </w:r>
          </w:p>
        </w:tc>
        <w:tc>
          <w:tcPr>
            <w:tcW w:w="126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2021年底前</w:t>
            </w:r>
          </w:p>
        </w:tc>
      </w:tr>
      <w:tr>
        <w:tblPrEx>
          <w:tblLayout w:type="fixed"/>
          <w:tblCellMar>
            <w:top w:w="15" w:type="dxa"/>
            <w:left w:w="15" w:type="dxa"/>
            <w:bottom w:w="15" w:type="dxa"/>
            <w:right w:w="15" w:type="dxa"/>
          </w:tblCellMar>
        </w:tblPrEx>
        <w:trPr>
          <w:trHeight w:val="540"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黄石</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金山店铁矿锡冶山尾矿库</w:t>
            </w:r>
          </w:p>
        </w:tc>
        <w:tc>
          <w:tcPr>
            <w:tcW w:w="43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未完善闭库后的尾矿库在线监测系统。</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黄石市人民政府</w:t>
            </w:r>
          </w:p>
        </w:tc>
        <w:tc>
          <w:tcPr>
            <w:tcW w:w="181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省应急管理厅</w:t>
            </w:r>
          </w:p>
        </w:tc>
        <w:tc>
          <w:tcPr>
            <w:tcW w:w="126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2021年底前</w:t>
            </w:r>
          </w:p>
        </w:tc>
      </w:tr>
      <w:tr>
        <w:tblPrEx>
          <w:tblLayout w:type="fixed"/>
          <w:tblCellMar>
            <w:top w:w="15" w:type="dxa"/>
            <w:left w:w="15" w:type="dxa"/>
            <w:bottom w:w="15" w:type="dxa"/>
            <w:right w:w="15" w:type="dxa"/>
          </w:tblCellMar>
        </w:tblPrEx>
        <w:trPr>
          <w:trHeight w:val="1020"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黄石</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大冶有色铜山口铜矿周家园接替尾矿库</w:t>
            </w:r>
          </w:p>
        </w:tc>
        <w:tc>
          <w:tcPr>
            <w:tcW w:w="43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目前尾矿库放矿干滩滩面已接近基础坝坝顶，完全具备堆筑子坝的条件，企业未按尾矿库堆筑子坝要求进行修筑子坝，对尾矿库的放矿管理和调洪库容造成安全隐患。</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黄石市人民政府</w:t>
            </w:r>
          </w:p>
        </w:tc>
        <w:tc>
          <w:tcPr>
            <w:tcW w:w="181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省应急管理厅</w:t>
            </w:r>
          </w:p>
        </w:tc>
        <w:tc>
          <w:tcPr>
            <w:tcW w:w="126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2021年底前</w:t>
            </w:r>
          </w:p>
        </w:tc>
      </w:tr>
      <w:tr>
        <w:tblPrEx>
          <w:tblLayout w:type="fixed"/>
          <w:tblCellMar>
            <w:top w:w="15" w:type="dxa"/>
            <w:left w:w="15" w:type="dxa"/>
            <w:bottom w:w="15" w:type="dxa"/>
            <w:right w:w="15" w:type="dxa"/>
          </w:tblCellMar>
        </w:tblPrEx>
        <w:trPr>
          <w:trHeight w:val="720"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黄石</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大冶有色丰山铜铁矿尾矿库</w:t>
            </w:r>
          </w:p>
        </w:tc>
        <w:tc>
          <w:tcPr>
            <w:tcW w:w="43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尾矿回水泵站处在回水区域，其标高远远低于尾矿坝设计标高，存在安全隐患，需重新选址建设新的尾矿回水泵站。</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黄石市人民政府</w:t>
            </w:r>
          </w:p>
        </w:tc>
        <w:tc>
          <w:tcPr>
            <w:tcW w:w="181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省应急管理厅</w:t>
            </w:r>
          </w:p>
        </w:tc>
        <w:tc>
          <w:tcPr>
            <w:tcW w:w="126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2021年底前</w:t>
            </w:r>
          </w:p>
        </w:tc>
      </w:tr>
      <w:tr>
        <w:tblPrEx>
          <w:tblLayout w:type="fixed"/>
          <w:tblCellMar>
            <w:top w:w="15" w:type="dxa"/>
            <w:left w:w="15" w:type="dxa"/>
            <w:bottom w:w="15" w:type="dxa"/>
            <w:right w:w="15" w:type="dxa"/>
          </w:tblCellMar>
        </w:tblPrEx>
        <w:trPr>
          <w:trHeight w:val="810"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黄石</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湖北鸡笼山黄金矿业有限公司老尾矿库</w:t>
            </w:r>
          </w:p>
        </w:tc>
        <w:tc>
          <w:tcPr>
            <w:tcW w:w="43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尾矿库干滩长度不足50米，不符合四等库尾矿库干滩长度大于50米的管理规定。</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黄石市人民政府</w:t>
            </w:r>
          </w:p>
        </w:tc>
        <w:tc>
          <w:tcPr>
            <w:tcW w:w="181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省应急管理厅</w:t>
            </w:r>
          </w:p>
        </w:tc>
        <w:tc>
          <w:tcPr>
            <w:tcW w:w="126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2021年底前</w:t>
            </w:r>
          </w:p>
        </w:tc>
      </w:tr>
      <w:tr>
        <w:tblPrEx>
          <w:tblLayout w:type="fixed"/>
          <w:tblCellMar>
            <w:top w:w="15" w:type="dxa"/>
            <w:left w:w="15" w:type="dxa"/>
            <w:bottom w:w="15" w:type="dxa"/>
            <w:right w:w="15" w:type="dxa"/>
          </w:tblCellMar>
        </w:tblPrEx>
        <w:trPr>
          <w:trHeight w:val="1080"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十堰</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丹江口市中燃城市燃气发展有限公司</w:t>
            </w:r>
          </w:p>
        </w:tc>
        <w:tc>
          <w:tcPr>
            <w:tcW w:w="43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应急LNG气工艺区无实体围墙，紧贴临江人车便道，安全间距不够，也无安防设施。</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十堰市人民政府</w:t>
            </w:r>
          </w:p>
        </w:tc>
        <w:tc>
          <w:tcPr>
            <w:tcW w:w="18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省住建厅</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sz w:val="24"/>
              </w:rPr>
              <w:t>2021年底前</w:t>
            </w:r>
          </w:p>
        </w:tc>
      </w:tr>
      <w:tr>
        <w:tblPrEx>
          <w:tblLayout w:type="fixed"/>
          <w:tblCellMar>
            <w:top w:w="15" w:type="dxa"/>
            <w:left w:w="15" w:type="dxa"/>
            <w:bottom w:w="15" w:type="dxa"/>
            <w:right w:w="15" w:type="dxa"/>
          </w:tblCellMar>
        </w:tblPrEx>
        <w:trPr>
          <w:trHeight w:val="540"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十堰</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竹溪县阳光天然气公司</w:t>
            </w:r>
          </w:p>
        </w:tc>
        <w:tc>
          <w:tcPr>
            <w:tcW w:w="43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LNG罐距防液堤、卸车柱间距不足。</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十堰市人民政府</w:t>
            </w:r>
          </w:p>
        </w:tc>
        <w:tc>
          <w:tcPr>
            <w:tcW w:w="18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省住建厅</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sz w:val="24"/>
              </w:rPr>
              <w:t>2021年底前</w:t>
            </w:r>
          </w:p>
        </w:tc>
      </w:tr>
      <w:tr>
        <w:tblPrEx>
          <w:tblLayout w:type="fixed"/>
          <w:tblCellMar>
            <w:top w:w="15" w:type="dxa"/>
            <w:left w:w="15" w:type="dxa"/>
            <w:bottom w:w="15" w:type="dxa"/>
            <w:right w:w="15" w:type="dxa"/>
          </w:tblCellMar>
        </w:tblPrEx>
        <w:trPr>
          <w:trHeight w:val="1315"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襄阳</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老河口中燃城市燃气发展有限公司</w:t>
            </w:r>
          </w:p>
        </w:tc>
        <w:tc>
          <w:tcPr>
            <w:tcW w:w="43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1.现场设置有一个45立方米LNG储罐（系临时设施），总图布置设计无此设备，与站内其他设备安全间距不足；</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2.管网线路上有多处占压情况。</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襄阳市人民政府</w:t>
            </w:r>
          </w:p>
        </w:tc>
        <w:tc>
          <w:tcPr>
            <w:tcW w:w="18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省住建厅</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sz w:val="24"/>
              </w:rPr>
              <w:t>2021年底前</w:t>
            </w:r>
          </w:p>
        </w:tc>
      </w:tr>
      <w:tr>
        <w:tblPrEx>
          <w:tblLayout w:type="fixed"/>
          <w:tblCellMar>
            <w:top w:w="15" w:type="dxa"/>
            <w:left w:w="15" w:type="dxa"/>
            <w:bottom w:w="15" w:type="dxa"/>
            <w:right w:w="15" w:type="dxa"/>
          </w:tblCellMar>
        </w:tblPrEx>
        <w:trPr>
          <w:trHeight w:val="2225"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宜昌</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当阳坝陵化工园-华强化工集团</w:t>
            </w:r>
          </w:p>
        </w:tc>
        <w:tc>
          <w:tcPr>
            <w:tcW w:w="43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1.氨站安全仪表系统存在缺陷，不符合相关标准规范的规定；</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2.涉及甲乙类火灾危险性的生产装置控制室未全部整改到位，氨站（一级重大危险源）控制室仍未搬迁，受老厂区场地限制，暂无合适位置搬迁。</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宜昌市人民政府</w:t>
            </w:r>
          </w:p>
        </w:tc>
        <w:tc>
          <w:tcPr>
            <w:tcW w:w="18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省应急管理厅</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sz w:val="24"/>
              </w:rPr>
              <w:t>2021年底前</w:t>
            </w:r>
          </w:p>
        </w:tc>
      </w:tr>
      <w:tr>
        <w:tblPrEx>
          <w:tblLayout w:type="fixed"/>
          <w:tblCellMar>
            <w:top w:w="15" w:type="dxa"/>
            <w:left w:w="15" w:type="dxa"/>
            <w:bottom w:w="15" w:type="dxa"/>
            <w:right w:w="15" w:type="dxa"/>
          </w:tblCellMar>
        </w:tblPrEx>
        <w:trPr>
          <w:trHeight w:val="1350"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随州</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广水市郝店镇铁城村打石坡滑坡点</w:t>
            </w:r>
          </w:p>
        </w:tc>
        <w:tc>
          <w:tcPr>
            <w:tcW w:w="43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加紧滑坡治理。</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随州市人民政府</w:t>
            </w:r>
          </w:p>
        </w:tc>
        <w:tc>
          <w:tcPr>
            <w:tcW w:w="18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省自然资源厅</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sz w:val="24"/>
              </w:rPr>
              <w:t>2021年底前</w:t>
            </w:r>
          </w:p>
        </w:tc>
      </w:tr>
    </w:tbl>
    <w:p/>
    <w:sectPr>
      <w:pgSz w:w="16838" w:h="11906" w:orient="landscape"/>
      <w:pgMar w:top="1497" w:right="1837" w:bottom="1440" w:left="1440" w:header="851" w:footer="992" w:gutter="0"/>
      <w:paperSrc/>
      <w:pgNumType w:fmt="numberInDash"/>
      <w:cols w:space="0" w:num="1"/>
      <w:rtlGutter w:val="0"/>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4"/>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72D91"/>
    <w:rsid w:val="01E25301"/>
    <w:rsid w:val="02D27272"/>
    <w:rsid w:val="19872D91"/>
    <w:rsid w:val="6F743AD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2021-08-16T03:16:00Z</dcterms:created>
  <dc:creator>cyy</dc:creator>
  <cp:lastModifiedBy>cyy</cp:lastModifiedBy>
  <dcterms:modified xsi:type="dcterms:W3CDTF">2021-08-16T03:17:01Z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