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rPr>
      </w:pPr>
      <w:r>
        <w:rPr>
          <w:rFonts w:hint="eastAsia" w:ascii="黑体" w:hAnsi="黑体" w:eastAsia="黑体" w:cs="黑体"/>
          <w:szCs w:val="32"/>
        </w:rPr>
        <w:t>附件2</w:t>
      </w:r>
    </w:p>
    <w:p>
      <w:pPr>
        <w:spacing w:line="560" w:lineRule="exact"/>
        <w:rPr>
          <w:rFonts w:ascii="黑体" w:hAnsi="黑体" w:eastAsia="黑体" w:cs="黑体"/>
          <w:szCs w:val="32"/>
        </w:rPr>
      </w:pPr>
    </w:p>
    <w:p>
      <w:pPr>
        <w:spacing w:line="640" w:lineRule="exact"/>
        <w:jc w:val="center"/>
        <w:rPr>
          <w:rFonts w:ascii="方正小标宋简体" w:hAnsi="宋体" w:eastAsia="方正小标宋简体"/>
          <w:sz w:val="36"/>
          <w:szCs w:val="36"/>
        </w:rPr>
      </w:pPr>
      <w:bookmarkStart w:id="0" w:name="_GoBack"/>
      <w:r>
        <w:rPr>
          <w:rFonts w:hint="eastAsia" w:ascii="方正小标宋简体" w:hAnsi="宋体" w:eastAsia="方正小标宋简体"/>
          <w:sz w:val="36"/>
          <w:szCs w:val="36"/>
        </w:rPr>
        <w:t>烟花爆竹批发企业安全风险隐患排查表</w:t>
      </w:r>
      <w:bookmarkEnd w:id="0"/>
    </w:p>
    <w:p>
      <w:pPr>
        <w:spacing w:line="240" w:lineRule="exact"/>
        <w:jc w:val="center"/>
        <w:rPr>
          <w:rFonts w:ascii="方正小标宋简体" w:hAnsi="宋体" w:eastAsia="方正小标宋简体"/>
          <w:sz w:val="36"/>
          <w:szCs w:val="36"/>
        </w:rPr>
      </w:pPr>
    </w:p>
    <w:tbl>
      <w:tblPr>
        <w:tblStyle w:val="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924" w:type="dxa"/>
            <w:noWrap w:val="0"/>
            <w:vAlign w:val="center"/>
          </w:tcPr>
          <w:p>
            <w:pPr>
              <w:snapToGrid w:val="0"/>
              <w:spacing w:line="300" w:lineRule="exact"/>
              <w:jc w:val="center"/>
              <w:rPr>
                <w:rFonts w:ascii="黑体" w:hAnsi="黑体" w:eastAsia="黑体"/>
                <w:sz w:val="24"/>
                <w:szCs w:val="24"/>
              </w:rPr>
            </w:pPr>
            <w:r>
              <w:rPr>
                <w:rFonts w:hint="eastAsia" w:ascii="黑体" w:hAnsi="黑体" w:eastAsia="黑体"/>
                <w:sz w:val="24"/>
                <w:szCs w:val="24"/>
              </w:rPr>
              <w:t>序号</w:t>
            </w:r>
          </w:p>
        </w:tc>
        <w:tc>
          <w:tcPr>
            <w:tcW w:w="8016" w:type="dxa"/>
            <w:noWrap w:val="0"/>
            <w:vAlign w:val="center"/>
          </w:tcPr>
          <w:p>
            <w:pPr>
              <w:snapToGrid w:val="0"/>
              <w:spacing w:line="300" w:lineRule="exact"/>
              <w:jc w:val="center"/>
              <w:rPr>
                <w:rFonts w:ascii="黑体" w:hAnsi="黑体" w:eastAsia="黑体"/>
                <w:sz w:val="24"/>
                <w:szCs w:val="24"/>
              </w:rPr>
            </w:pPr>
            <w:r>
              <w:rPr>
                <w:rFonts w:hint="eastAsia" w:ascii="黑体" w:hAnsi="黑体" w:eastAsia="黑体"/>
                <w:sz w:val="24"/>
                <w:szCs w:val="24"/>
              </w:rPr>
              <w:t>主要排查内容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1</w:t>
            </w:r>
          </w:p>
        </w:tc>
        <w:tc>
          <w:tcPr>
            <w:tcW w:w="8016" w:type="dxa"/>
            <w:noWrap w:val="0"/>
            <w:vAlign w:val="center"/>
          </w:tcPr>
          <w:p>
            <w:pPr>
              <w:snapToGrid w:val="0"/>
              <w:spacing w:line="300" w:lineRule="exact"/>
              <w:jc w:val="left"/>
              <w:rPr>
                <w:rFonts w:ascii="仿宋_GB2312" w:hAnsi="宋体"/>
                <w:sz w:val="24"/>
                <w:szCs w:val="24"/>
              </w:rPr>
            </w:pPr>
            <w:r>
              <w:rPr>
                <w:rFonts w:hint="eastAsia" w:ascii="仿宋_GB2312" w:hAnsi="宋体"/>
                <w:sz w:val="24"/>
                <w:szCs w:val="24"/>
              </w:rPr>
              <w:t>上半年安全专项检查发现的隐患问题是否已全部整改到位。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2</w:t>
            </w:r>
          </w:p>
        </w:tc>
        <w:tc>
          <w:tcPr>
            <w:tcW w:w="8016" w:type="dxa"/>
            <w:noWrap w:val="0"/>
            <w:vAlign w:val="center"/>
          </w:tcPr>
          <w:p>
            <w:pPr>
              <w:snapToGrid w:val="0"/>
              <w:spacing w:line="300" w:lineRule="exact"/>
              <w:jc w:val="left"/>
              <w:rPr>
                <w:rFonts w:ascii="仿宋_GB2312" w:hAnsi="宋体"/>
                <w:sz w:val="24"/>
                <w:szCs w:val="24"/>
              </w:rPr>
            </w:pPr>
            <w:r>
              <w:rPr>
                <w:rFonts w:hint="eastAsia" w:ascii="仿宋_GB2312" w:hAnsi="宋体"/>
                <w:sz w:val="24"/>
                <w:szCs w:val="24"/>
              </w:rPr>
              <w:t>安全生产管理制度、操作规程是否符合《烟花爆竹经营许可实施办法》第六条规定并装订成册。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3</w:t>
            </w:r>
          </w:p>
        </w:tc>
        <w:tc>
          <w:tcPr>
            <w:tcW w:w="8016" w:type="dxa"/>
            <w:noWrap w:val="0"/>
            <w:vAlign w:val="center"/>
          </w:tcPr>
          <w:p>
            <w:pPr>
              <w:snapToGrid w:val="0"/>
              <w:spacing w:line="300" w:lineRule="exact"/>
              <w:jc w:val="left"/>
              <w:rPr>
                <w:rFonts w:ascii="仿宋_GB2312" w:hAnsi="宋体"/>
                <w:sz w:val="24"/>
                <w:szCs w:val="24"/>
              </w:rPr>
            </w:pPr>
            <w:r>
              <w:rPr>
                <w:rFonts w:hint="eastAsia" w:ascii="仿宋_GB2312" w:hAnsi="宋体"/>
                <w:sz w:val="24"/>
                <w:szCs w:val="24"/>
              </w:rPr>
              <w:t>是否建立符合本企业实际的全员安全生产责任制和企业负责人值班带班、隐患排查治理、安全教育培训、安全买卖合同台账。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4</w:t>
            </w:r>
          </w:p>
        </w:tc>
        <w:tc>
          <w:tcPr>
            <w:tcW w:w="8016" w:type="dxa"/>
            <w:noWrap w:val="0"/>
            <w:vAlign w:val="center"/>
          </w:tcPr>
          <w:p>
            <w:pPr>
              <w:snapToGrid w:val="0"/>
              <w:spacing w:line="300" w:lineRule="exact"/>
              <w:jc w:val="left"/>
              <w:rPr>
                <w:rFonts w:ascii="仿宋_GB2312" w:hAnsi="宋体"/>
                <w:sz w:val="24"/>
                <w:szCs w:val="24"/>
              </w:rPr>
            </w:pPr>
            <w:r>
              <w:rPr>
                <w:rFonts w:hint="eastAsia" w:ascii="仿宋_GB2312" w:hAnsi="宋体"/>
                <w:sz w:val="24"/>
                <w:szCs w:val="24"/>
              </w:rPr>
              <w:t>安全管理机构设置及人员配备是否符合《烟花爆竹经营许可实施办法》第六条规定，是否配备注册安全工程师。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5</w:t>
            </w:r>
          </w:p>
        </w:tc>
        <w:tc>
          <w:tcPr>
            <w:tcW w:w="8016" w:type="dxa"/>
            <w:noWrap w:val="0"/>
            <w:vAlign w:val="center"/>
          </w:tcPr>
          <w:p>
            <w:pPr>
              <w:snapToGrid w:val="0"/>
              <w:spacing w:line="300" w:lineRule="exact"/>
              <w:jc w:val="left"/>
              <w:rPr>
                <w:rFonts w:ascii="仿宋_GB2312" w:hAnsi="宋体"/>
                <w:sz w:val="24"/>
                <w:szCs w:val="24"/>
              </w:rPr>
            </w:pPr>
            <w:r>
              <w:rPr>
                <w:rFonts w:hint="eastAsia" w:ascii="仿宋_GB2312" w:hAnsi="宋体"/>
                <w:sz w:val="24"/>
                <w:szCs w:val="24"/>
              </w:rPr>
              <w:t>企业主要负责人、分管负责人、安全生产管理人员、危险工序及特种作业人员是否考核合格或取得相应资格。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6</w:t>
            </w:r>
          </w:p>
        </w:tc>
        <w:tc>
          <w:tcPr>
            <w:tcW w:w="8016" w:type="dxa"/>
            <w:noWrap w:val="0"/>
            <w:vAlign w:val="center"/>
          </w:tcPr>
          <w:p>
            <w:pPr>
              <w:snapToGrid w:val="0"/>
              <w:spacing w:line="300" w:lineRule="exact"/>
              <w:rPr>
                <w:rFonts w:ascii="仿宋_GB2312" w:hAnsi="宋体"/>
                <w:sz w:val="24"/>
                <w:szCs w:val="24"/>
              </w:rPr>
            </w:pPr>
            <w:r>
              <w:rPr>
                <w:rFonts w:hint="eastAsia" w:ascii="仿宋_GB2312" w:hAnsi="宋体"/>
                <w:sz w:val="24"/>
                <w:szCs w:val="24"/>
              </w:rPr>
              <w:t>是否超许可范围经营，是否向零售点销售专业燃放类产品，是否购进或者储存冒牌、超标违禁产品。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7</w:t>
            </w:r>
          </w:p>
        </w:tc>
        <w:tc>
          <w:tcPr>
            <w:tcW w:w="8016" w:type="dxa"/>
            <w:noWrap w:val="0"/>
            <w:vAlign w:val="center"/>
          </w:tcPr>
          <w:p>
            <w:pPr>
              <w:snapToGrid w:val="0"/>
              <w:spacing w:line="300" w:lineRule="exact"/>
              <w:rPr>
                <w:rFonts w:ascii="仿宋_GB2312" w:hAnsi="宋体"/>
                <w:sz w:val="24"/>
                <w:szCs w:val="24"/>
              </w:rPr>
            </w:pPr>
            <w:r>
              <w:rPr>
                <w:rFonts w:hint="eastAsia" w:ascii="仿宋_GB2312" w:hAnsi="宋体"/>
                <w:sz w:val="24"/>
                <w:szCs w:val="24"/>
              </w:rPr>
              <w:t>是否每天组织开展日常安全检查，保管人员是否定期对储存仓库及储存物品进行安全检查，是否每天对库房内温度、湿度进行检测记录。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8</w:t>
            </w:r>
          </w:p>
        </w:tc>
        <w:tc>
          <w:tcPr>
            <w:tcW w:w="8016" w:type="dxa"/>
            <w:noWrap w:val="0"/>
            <w:vAlign w:val="center"/>
          </w:tcPr>
          <w:p>
            <w:pPr>
              <w:snapToGrid w:val="0"/>
              <w:spacing w:line="300" w:lineRule="exact"/>
              <w:rPr>
                <w:rFonts w:ascii="仿宋_GB2312" w:hAnsi="宋体"/>
                <w:sz w:val="24"/>
                <w:szCs w:val="24"/>
              </w:rPr>
            </w:pPr>
            <w:r>
              <w:rPr>
                <w:rFonts w:hint="eastAsia" w:ascii="仿宋_GB2312" w:hAnsi="宋体"/>
                <w:sz w:val="24"/>
                <w:szCs w:val="24"/>
              </w:rPr>
              <w:t>是否按规定对零售经营者提供了配送服务，是否有零售经营者自行到仓库提取产品。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9</w:t>
            </w:r>
          </w:p>
        </w:tc>
        <w:tc>
          <w:tcPr>
            <w:tcW w:w="8016" w:type="dxa"/>
            <w:noWrap w:val="0"/>
            <w:vAlign w:val="center"/>
          </w:tcPr>
          <w:p>
            <w:pPr>
              <w:snapToGrid w:val="0"/>
              <w:spacing w:line="300" w:lineRule="exact"/>
              <w:rPr>
                <w:rFonts w:ascii="仿宋_GB2312" w:hAnsi="宋体"/>
                <w:sz w:val="24"/>
                <w:szCs w:val="24"/>
              </w:rPr>
            </w:pPr>
            <w:r>
              <w:rPr>
                <w:rFonts w:hint="eastAsia" w:ascii="仿宋_GB2312" w:hAnsi="宋体"/>
                <w:sz w:val="24"/>
                <w:szCs w:val="24"/>
              </w:rPr>
              <w:t>仓库区、行政区、展览区是否分区设置，库区围墙是否完整，是否私自搭建临时建（构）筑物、在办公区及周边废弃房屋内储存产品。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10</w:t>
            </w:r>
          </w:p>
        </w:tc>
        <w:tc>
          <w:tcPr>
            <w:tcW w:w="8016" w:type="dxa"/>
            <w:noWrap w:val="0"/>
            <w:vAlign w:val="center"/>
          </w:tcPr>
          <w:p>
            <w:pPr>
              <w:snapToGrid w:val="0"/>
              <w:spacing w:line="300" w:lineRule="exact"/>
              <w:rPr>
                <w:rFonts w:ascii="仿宋_GB2312" w:hAnsi="宋体"/>
                <w:sz w:val="24"/>
                <w:szCs w:val="24"/>
              </w:rPr>
            </w:pPr>
            <w:r>
              <w:rPr>
                <w:rFonts w:hint="eastAsia" w:ascii="仿宋_GB2312" w:hAnsi="宋体"/>
                <w:sz w:val="24"/>
                <w:szCs w:val="24"/>
              </w:rPr>
              <w:t>库房的防爆、防火、防雷设施和内、外部安全距离是否符合GB50161要求，是否建设应用安全监控系统。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11</w:t>
            </w:r>
          </w:p>
        </w:tc>
        <w:tc>
          <w:tcPr>
            <w:tcW w:w="8016" w:type="dxa"/>
            <w:noWrap w:val="0"/>
            <w:vAlign w:val="center"/>
          </w:tcPr>
          <w:p>
            <w:pPr>
              <w:snapToGrid w:val="0"/>
              <w:spacing w:line="300" w:lineRule="exact"/>
              <w:rPr>
                <w:rFonts w:ascii="仿宋_GB2312" w:hAnsi="宋体"/>
                <w:sz w:val="24"/>
                <w:szCs w:val="24"/>
              </w:rPr>
            </w:pPr>
            <w:r>
              <w:rPr>
                <w:rFonts w:hint="eastAsia" w:ascii="仿宋_GB2312" w:hAnsi="宋体"/>
                <w:sz w:val="24"/>
                <w:szCs w:val="24"/>
              </w:rPr>
              <w:t>库房是否设置明显的安全警示标志和定员、定量、定级标识，储存药量是否超过核定储量。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12</w:t>
            </w:r>
          </w:p>
        </w:tc>
        <w:tc>
          <w:tcPr>
            <w:tcW w:w="8016" w:type="dxa"/>
            <w:noWrap w:val="0"/>
            <w:vAlign w:val="center"/>
          </w:tcPr>
          <w:p>
            <w:pPr>
              <w:snapToGrid w:val="0"/>
              <w:spacing w:line="300" w:lineRule="exact"/>
              <w:rPr>
                <w:rFonts w:ascii="仿宋_GB2312" w:hAnsi="宋体"/>
                <w:sz w:val="24"/>
                <w:szCs w:val="24"/>
              </w:rPr>
            </w:pPr>
            <w:r>
              <w:rPr>
                <w:rFonts w:hint="eastAsia" w:ascii="仿宋_GB2312" w:hAnsi="宋体"/>
                <w:sz w:val="24"/>
                <w:szCs w:val="24"/>
              </w:rPr>
              <w:t>库房内产品的码放是否符合GB50161和GB11652要求。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13</w:t>
            </w:r>
          </w:p>
        </w:tc>
        <w:tc>
          <w:tcPr>
            <w:tcW w:w="8016" w:type="dxa"/>
            <w:noWrap w:val="0"/>
            <w:vAlign w:val="center"/>
          </w:tcPr>
          <w:p>
            <w:pPr>
              <w:snapToGrid w:val="0"/>
              <w:spacing w:line="300" w:lineRule="exact"/>
              <w:rPr>
                <w:rFonts w:ascii="仿宋_GB2312" w:hAnsi="宋体"/>
                <w:sz w:val="24"/>
                <w:szCs w:val="24"/>
              </w:rPr>
            </w:pPr>
            <w:r>
              <w:rPr>
                <w:rFonts w:hint="eastAsia" w:ascii="仿宋_GB2312" w:hAnsi="宋体"/>
                <w:sz w:val="24"/>
                <w:szCs w:val="24"/>
              </w:rPr>
              <w:t>是否将危险等级高的产品储存在危险等级低的库房，库房是否储存不属于烟花爆竹的危险物品。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14</w:t>
            </w:r>
          </w:p>
        </w:tc>
        <w:tc>
          <w:tcPr>
            <w:tcW w:w="8016" w:type="dxa"/>
            <w:noWrap w:val="0"/>
            <w:vAlign w:val="center"/>
          </w:tcPr>
          <w:p>
            <w:pPr>
              <w:snapToGrid w:val="0"/>
              <w:spacing w:line="300" w:lineRule="exact"/>
              <w:rPr>
                <w:rFonts w:ascii="仿宋_GB2312" w:hAnsi="宋体"/>
                <w:sz w:val="24"/>
                <w:szCs w:val="24"/>
              </w:rPr>
            </w:pPr>
            <w:r>
              <w:rPr>
                <w:rFonts w:hint="eastAsia" w:ascii="仿宋_GB2312" w:hAnsi="宋体"/>
                <w:sz w:val="24"/>
                <w:szCs w:val="24"/>
              </w:rPr>
              <w:t>是否建立符合AQ4102要求的流向登记表、供货和购买单位登记表、产品信息登记表，库区各库房是否建立了流向登记台账。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24" w:type="dxa"/>
            <w:noWrap w:val="0"/>
            <w:vAlign w:val="center"/>
          </w:tcPr>
          <w:p>
            <w:pPr>
              <w:snapToGrid w:val="0"/>
              <w:spacing w:line="300" w:lineRule="exact"/>
              <w:jc w:val="center"/>
              <w:rPr>
                <w:rFonts w:ascii="仿宋_GB2312" w:hAnsi="宋体"/>
                <w:sz w:val="24"/>
                <w:szCs w:val="24"/>
              </w:rPr>
            </w:pPr>
            <w:r>
              <w:rPr>
                <w:rFonts w:hint="eastAsia" w:ascii="仿宋_GB2312" w:hAnsi="宋体"/>
                <w:sz w:val="24"/>
                <w:szCs w:val="24"/>
              </w:rPr>
              <w:t>15</w:t>
            </w:r>
          </w:p>
        </w:tc>
        <w:tc>
          <w:tcPr>
            <w:tcW w:w="8016" w:type="dxa"/>
            <w:noWrap w:val="0"/>
            <w:vAlign w:val="center"/>
          </w:tcPr>
          <w:p>
            <w:pPr>
              <w:snapToGrid w:val="0"/>
              <w:spacing w:line="300" w:lineRule="exact"/>
              <w:rPr>
                <w:rFonts w:ascii="仿宋_GB2312" w:hAnsi="宋体"/>
                <w:sz w:val="24"/>
                <w:szCs w:val="24"/>
              </w:rPr>
            </w:pPr>
            <w:r>
              <w:rPr>
                <w:rFonts w:hint="eastAsia" w:ascii="仿宋_GB2312" w:hAnsi="宋体"/>
                <w:sz w:val="24"/>
                <w:szCs w:val="24"/>
              </w:rPr>
              <w:t>产品包装箱上是否粘贴流向登记标识码并录入全国烟花爆竹流向管理信息系统，实际库存是否与系统登记库存一致。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NjY2NTBhNmZhYjZkZDdiZjlhY2Q3NjkyNWJkYzMifQ=="/>
  </w:docVars>
  <w:rsids>
    <w:rsidRoot w:val="5EFB5ACD"/>
    <w:rsid w:val="5EFB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2022-11-09T09:26:00Z</dcterms:created>
  <dc:creator>一个人的好天气</dc:creator>
  <cp:lastModifiedBy>一个人的好天气</cp:lastModifiedBy>
  <dcterms:modified xsi:type="dcterms:W3CDTF">2022-11-09T09:27:10Z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111E9035D4484027875FC32AE0279AE0</vt:lpwstr>
  </property>
</Properties>
</file>