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B569A">
      <w:pPr>
        <w:keepNext w:val="0"/>
        <w:keepLines w:val="0"/>
        <w:widowControl w:val="0"/>
        <w:suppressLineNumbers w:val="0"/>
        <w:overflowPunct w:val="0"/>
        <w:spacing w:before="0" w:beforeAutospacing="0" w:after="0" w:afterAutospacing="0" w:line="578" w:lineRule="exact"/>
        <w:ind w:left="0" w:right="0"/>
        <w:jc w:val="both"/>
        <w:rPr>
          <w:rFonts w:hint="default" w:ascii="黑体" w:hAnsi="宋体" w:eastAsia="黑体" w:cs="黑体"/>
          <w:color w:val="auto"/>
          <w:kern w:val="2"/>
          <w:sz w:val="32"/>
          <w:szCs w:val="32"/>
        </w:rPr>
      </w:pPr>
      <w:r>
        <w:rPr>
          <w:rFonts w:hint="default" w:ascii="黑体" w:hAnsi="宋体" w:eastAsia="黑体" w:cs="黑体"/>
          <w:color w:val="auto"/>
          <w:kern w:val="2"/>
          <w:sz w:val="32"/>
          <w:szCs w:val="32"/>
          <w:lang w:val="en-US" w:eastAsia="zh-CN" w:bidi="ar"/>
        </w:rPr>
        <w:t>附件1</w:t>
      </w:r>
    </w:p>
    <w:p w14:paraId="2B2B0E49">
      <w:pPr>
        <w:keepNext w:val="0"/>
        <w:keepLines w:val="0"/>
        <w:widowControl w:val="0"/>
        <w:suppressLineNumbers w:val="0"/>
        <w:wordWrap w:val="0"/>
        <w:overflowPunct w:val="0"/>
        <w:adjustRightInd w:val="0"/>
        <w:snapToGrid w:val="0"/>
        <w:spacing w:before="156" w:beforeLines="50" w:beforeAutospacing="0" w:after="156" w:afterLines="50" w:afterAutospacing="0" w:line="578" w:lineRule="exact"/>
        <w:ind w:left="0" w:right="0"/>
        <w:jc w:val="center"/>
        <w:rPr>
          <w:rFonts w:hint="default" w:ascii="Times New Roman" w:hAnsi="Times New Roman" w:eastAsia="方正小标宋简体" w:cs="Times New Roman"/>
          <w:color w:val="auto"/>
          <w:kern w:val="2"/>
          <w:sz w:val="44"/>
          <w:szCs w:val="44"/>
        </w:rPr>
      </w:pPr>
      <w:r>
        <w:rPr>
          <w:rFonts w:hint="default" w:ascii="方正小标宋简体" w:hAnsi="方正小标宋简体" w:eastAsia="方正小标宋简体" w:cs="方正小标宋简体"/>
          <w:color w:val="auto"/>
          <w:kern w:val="2"/>
          <w:sz w:val="44"/>
          <w:szCs w:val="44"/>
          <w:lang w:val="en-US" w:eastAsia="zh-CN" w:bidi="ar"/>
        </w:rPr>
        <w:t>湖北省危险化学品建设项目</w:t>
      </w:r>
      <w:r>
        <w:rPr>
          <w:rFonts w:hint="default" w:ascii="Times New Roman" w:hAnsi="Times New Roman" w:eastAsia="方正小标宋简体" w:cs="Times New Roman"/>
          <w:color w:val="auto"/>
          <w:kern w:val="2"/>
          <w:sz w:val="44"/>
          <w:szCs w:val="44"/>
          <w:lang w:val="en-US" w:eastAsia="zh-CN" w:bidi="ar"/>
        </w:rPr>
        <w:br w:type="textWrapping"/>
      </w:r>
      <w:r>
        <w:rPr>
          <w:rFonts w:hint="default" w:ascii="方正小标宋简体" w:hAnsi="方正小标宋简体" w:eastAsia="方正小标宋简体" w:cs="方正小标宋简体"/>
          <w:color w:val="auto"/>
          <w:kern w:val="2"/>
          <w:sz w:val="44"/>
          <w:szCs w:val="44"/>
          <w:lang w:val="en-US" w:eastAsia="zh-CN" w:bidi="ar"/>
        </w:rPr>
        <w:t>安全条件审查要点</w:t>
      </w:r>
    </w:p>
    <w:tbl>
      <w:tblPr>
        <w:tblStyle w:val="1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57" w:type="dxa"/>
          <w:bottom w:w="0" w:type="dxa"/>
          <w:right w:w="57" w:type="dxa"/>
        </w:tblCellMar>
      </w:tblPr>
      <w:tblGrid>
        <w:gridCol w:w="736"/>
        <w:gridCol w:w="1133"/>
        <w:gridCol w:w="2163"/>
        <w:gridCol w:w="3832"/>
        <w:gridCol w:w="1089"/>
      </w:tblGrid>
      <w:tr w14:paraId="15C1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jc w:val="center"/>
        </w:trPr>
        <w:tc>
          <w:tcPr>
            <w:tcW w:w="1044" w:type="pct"/>
            <w:gridSpan w:val="2"/>
            <w:shd w:val="clear" w:color="auto" w:fill="auto"/>
            <w:tcMar>
              <w:top w:w="57" w:type="dxa"/>
              <w:left w:w="57" w:type="dxa"/>
              <w:bottom w:w="57" w:type="dxa"/>
              <w:right w:w="57" w:type="dxa"/>
            </w:tcMar>
            <w:vAlign w:val="center"/>
          </w:tcPr>
          <w:p w14:paraId="2528519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建设单位</w:t>
            </w:r>
          </w:p>
        </w:tc>
        <w:tc>
          <w:tcPr>
            <w:tcW w:w="3955" w:type="pct"/>
            <w:gridSpan w:val="3"/>
            <w:shd w:val="clear" w:color="auto" w:fill="auto"/>
            <w:tcMar>
              <w:top w:w="57" w:type="dxa"/>
              <w:left w:w="57" w:type="dxa"/>
              <w:bottom w:w="57" w:type="dxa"/>
              <w:right w:w="57" w:type="dxa"/>
            </w:tcMar>
            <w:vAlign w:val="center"/>
          </w:tcPr>
          <w:p w14:paraId="1E6D6DA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p>
        </w:tc>
      </w:tr>
      <w:tr w14:paraId="49B6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1044" w:type="pct"/>
            <w:gridSpan w:val="2"/>
            <w:shd w:val="clear" w:color="auto" w:fill="auto"/>
            <w:tcMar>
              <w:top w:w="57" w:type="dxa"/>
              <w:left w:w="57" w:type="dxa"/>
              <w:bottom w:w="57" w:type="dxa"/>
              <w:right w:w="57" w:type="dxa"/>
            </w:tcMar>
            <w:vAlign w:val="center"/>
          </w:tcPr>
          <w:p w14:paraId="7D5F766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项目名称</w:t>
            </w:r>
          </w:p>
        </w:tc>
        <w:tc>
          <w:tcPr>
            <w:tcW w:w="3955" w:type="pct"/>
            <w:gridSpan w:val="3"/>
            <w:shd w:val="clear" w:color="auto" w:fill="auto"/>
            <w:tcMar>
              <w:top w:w="57" w:type="dxa"/>
              <w:left w:w="57" w:type="dxa"/>
              <w:bottom w:w="57" w:type="dxa"/>
              <w:right w:w="57" w:type="dxa"/>
            </w:tcMar>
            <w:vAlign w:val="center"/>
          </w:tcPr>
          <w:p w14:paraId="35F6A29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p>
        </w:tc>
      </w:tr>
      <w:tr w14:paraId="0618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44" w:type="pct"/>
            <w:gridSpan w:val="2"/>
            <w:shd w:val="clear" w:color="auto" w:fill="auto"/>
            <w:tcMar>
              <w:top w:w="57" w:type="dxa"/>
              <w:left w:w="57" w:type="dxa"/>
              <w:bottom w:w="57" w:type="dxa"/>
              <w:right w:w="57" w:type="dxa"/>
            </w:tcMar>
            <w:vAlign w:val="center"/>
          </w:tcPr>
          <w:p w14:paraId="32D29B8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建设类型</w:t>
            </w:r>
          </w:p>
        </w:tc>
        <w:tc>
          <w:tcPr>
            <w:tcW w:w="3955" w:type="pct"/>
            <w:gridSpan w:val="3"/>
            <w:shd w:val="clear" w:color="auto" w:fill="auto"/>
            <w:tcMar>
              <w:top w:w="57" w:type="dxa"/>
              <w:left w:w="57" w:type="dxa"/>
              <w:bottom w:w="57" w:type="dxa"/>
              <w:right w:w="57" w:type="dxa"/>
            </w:tcMar>
            <w:vAlign w:val="center"/>
          </w:tcPr>
          <w:p w14:paraId="6BE05AF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 xml:space="preserve">新建□ </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 xml:space="preserve">改建□ </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扩建□</w:t>
            </w:r>
          </w:p>
        </w:tc>
      </w:tr>
      <w:tr w14:paraId="030A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044" w:type="pct"/>
            <w:gridSpan w:val="2"/>
            <w:shd w:val="clear" w:color="auto" w:fill="auto"/>
            <w:tcMar>
              <w:top w:w="57" w:type="dxa"/>
              <w:left w:w="57" w:type="dxa"/>
              <w:bottom w:w="57" w:type="dxa"/>
              <w:right w:w="57" w:type="dxa"/>
            </w:tcMar>
            <w:vAlign w:val="center"/>
          </w:tcPr>
          <w:p w14:paraId="6301045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审查地点</w:t>
            </w:r>
          </w:p>
        </w:tc>
        <w:tc>
          <w:tcPr>
            <w:tcW w:w="1208" w:type="pct"/>
            <w:shd w:val="clear" w:color="auto" w:fill="auto"/>
            <w:tcMar>
              <w:top w:w="57" w:type="dxa"/>
              <w:left w:w="57" w:type="dxa"/>
              <w:bottom w:w="57" w:type="dxa"/>
              <w:right w:w="57" w:type="dxa"/>
            </w:tcMar>
            <w:vAlign w:val="center"/>
          </w:tcPr>
          <w:p w14:paraId="239B325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p>
        </w:tc>
        <w:tc>
          <w:tcPr>
            <w:tcW w:w="2139" w:type="pct"/>
            <w:shd w:val="clear" w:color="auto" w:fill="auto"/>
            <w:tcMar>
              <w:top w:w="57" w:type="dxa"/>
              <w:left w:w="57" w:type="dxa"/>
              <w:bottom w:w="57" w:type="dxa"/>
              <w:right w:w="57" w:type="dxa"/>
            </w:tcMar>
            <w:vAlign w:val="center"/>
          </w:tcPr>
          <w:p w14:paraId="2ABC58C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审查时间</w:t>
            </w:r>
          </w:p>
        </w:tc>
        <w:tc>
          <w:tcPr>
            <w:tcW w:w="606" w:type="pct"/>
            <w:shd w:val="clear" w:color="auto" w:fill="auto"/>
            <w:tcMar>
              <w:top w:w="57" w:type="dxa"/>
              <w:left w:w="57" w:type="dxa"/>
              <w:bottom w:w="57" w:type="dxa"/>
              <w:right w:w="57" w:type="dxa"/>
            </w:tcMar>
            <w:vAlign w:val="center"/>
          </w:tcPr>
          <w:p w14:paraId="09E497C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p>
        </w:tc>
      </w:tr>
      <w:tr w14:paraId="1D25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411" w:type="pct"/>
            <w:shd w:val="clear" w:color="auto" w:fill="auto"/>
            <w:tcMar>
              <w:top w:w="57" w:type="dxa"/>
              <w:left w:w="57" w:type="dxa"/>
              <w:bottom w:w="57" w:type="dxa"/>
              <w:right w:w="57" w:type="dxa"/>
            </w:tcMar>
            <w:vAlign w:val="center"/>
          </w:tcPr>
          <w:p w14:paraId="11D518C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序号</w:t>
            </w:r>
          </w:p>
        </w:tc>
        <w:tc>
          <w:tcPr>
            <w:tcW w:w="633" w:type="pct"/>
            <w:shd w:val="clear" w:color="auto" w:fill="auto"/>
            <w:tcMar>
              <w:top w:w="57" w:type="dxa"/>
              <w:left w:w="57" w:type="dxa"/>
              <w:bottom w:w="57" w:type="dxa"/>
              <w:right w:w="57" w:type="dxa"/>
            </w:tcMar>
            <w:vAlign w:val="center"/>
          </w:tcPr>
          <w:p w14:paraId="575DB20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内容</w:t>
            </w:r>
          </w:p>
        </w:tc>
        <w:tc>
          <w:tcPr>
            <w:tcW w:w="3348" w:type="pct"/>
            <w:gridSpan w:val="2"/>
            <w:shd w:val="clear" w:color="auto" w:fill="auto"/>
            <w:tcMar>
              <w:top w:w="57" w:type="dxa"/>
              <w:left w:w="57" w:type="dxa"/>
              <w:bottom w:w="57" w:type="dxa"/>
              <w:right w:w="57" w:type="dxa"/>
            </w:tcMar>
            <w:vAlign w:val="center"/>
          </w:tcPr>
          <w:p w14:paraId="4047440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审查要点</w:t>
            </w:r>
          </w:p>
        </w:tc>
        <w:tc>
          <w:tcPr>
            <w:tcW w:w="606" w:type="pct"/>
            <w:shd w:val="clear" w:color="auto" w:fill="auto"/>
            <w:tcMar>
              <w:top w:w="57" w:type="dxa"/>
              <w:left w:w="57" w:type="dxa"/>
              <w:bottom w:w="57" w:type="dxa"/>
              <w:right w:w="57" w:type="dxa"/>
            </w:tcMar>
            <w:vAlign w:val="center"/>
          </w:tcPr>
          <w:p w14:paraId="412ED54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审查意见</w:t>
            </w:r>
          </w:p>
        </w:tc>
      </w:tr>
      <w:tr w14:paraId="74AE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5000" w:type="pct"/>
            <w:gridSpan w:val="5"/>
            <w:shd w:val="clear" w:color="auto" w:fill="auto"/>
            <w:tcMar>
              <w:top w:w="57" w:type="dxa"/>
              <w:left w:w="57" w:type="dxa"/>
              <w:bottom w:w="57" w:type="dxa"/>
              <w:right w:w="57" w:type="dxa"/>
            </w:tcMar>
            <w:vAlign w:val="center"/>
          </w:tcPr>
          <w:p w14:paraId="38388E1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一、基本要求</w:t>
            </w:r>
          </w:p>
        </w:tc>
      </w:tr>
      <w:tr w14:paraId="5DE3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7111083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p>
        </w:tc>
        <w:tc>
          <w:tcPr>
            <w:tcW w:w="633" w:type="pct"/>
            <w:vMerge w:val="restart"/>
            <w:shd w:val="clear" w:color="auto" w:fill="auto"/>
            <w:tcMar>
              <w:top w:w="57" w:type="dxa"/>
              <w:left w:w="57" w:type="dxa"/>
              <w:bottom w:w="57" w:type="dxa"/>
              <w:right w:w="57" w:type="dxa"/>
            </w:tcMar>
            <w:vAlign w:val="center"/>
          </w:tcPr>
          <w:p w14:paraId="4DF3428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安全评价单位资质及项目组人员</w:t>
            </w:r>
          </w:p>
        </w:tc>
        <w:tc>
          <w:tcPr>
            <w:tcW w:w="3348" w:type="pct"/>
            <w:gridSpan w:val="2"/>
            <w:shd w:val="clear" w:color="auto" w:fill="auto"/>
            <w:tcMar>
              <w:top w:w="57" w:type="dxa"/>
              <w:left w:w="57" w:type="dxa"/>
              <w:bottom w:w="57" w:type="dxa"/>
              <w:right w:w="57" w:type="dxa"/>
            </w:tcMar>
            <w:vAlign w:val="center"/>
          </w:tcPr>
          <w:p w14:paraId="4BBE7FD7">
            <w:pPr>
              <w:keepNext w:val="0"/>
              <w:keepLines w:val="0"/>
              <w:pageBreakBefore w:val="0"/>
              <w:widowControl w:val="0"/>
              <w:numPr>
                <w:ilvl w:val="0"/>
                <w:numId w:val="1"/>
              </w:numPr>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val="0"/>
                <w:bCs w:val="0"/>
                <w:color w:val="auto"/>
                <w:kern w:val="2"/>
                <w:sz w:val="24"/>
                <w:szCs w:val="24"/>
              </w:rPr>
            </w:pPr>
            <w:r>
              <w:rPr>
                <w:rFonts w:hint="eastAsia" w:ascii="宋体" w:hAnsi="宋体" w:eastAsia="宋体" w:cs="宋体"/>
                <w:b w:val="0"/>
                <w:bCs w:val="0"/>
                <w:color w:val="auto"/>
                <w:kern w:val="2"/>
                <w:sz w:val="24"/>
                <w:szCs w:val="24"/>
                <w:lang w:val="en-US" w:eastAsia="zh-CN" w:bidi="ar"/>
              </w:rPr>
              <w:t>安全评价机构资质、核定业务范围、有效期等是否符合国家、省规定的要求。</w:t>
            </w:r>
          </w:p>
          <w:p w14:paraId="073011F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应承诺不得有出租、出借资质的情形</w:t>
            </w:r>
            <w:r>
              <w:rPr>
                <w:rFonts w:hint="eastAsia" w:ascii="宋体" w:hAnsi="宋体" w:eastAsia="宋体" w:cs="宋体"/>
                <w:b/>
                <w:bCs/>
                <w:color w:val="auto"/>
                <w:kern w:val="2"/>
                <w:sz w:val="24"/>
                <w:szCs w:val="24"/>
                <w:lang w:val="en-US" w:eastAsia="zh-CN" w:bidi="ar"/>
              </w:rPr>
              <w:t>。</w:t>
            </w:r>
          </w:p>
        </w:tc>
        <w:tc>
          <w:tcPr>
            <w:tcW w:w="606" w:type="pct"/>
            <w:shd w:val="clear" w:color="auto" w:fill="auto"/>
            <w:tcMar>
              <w:top w:w="57" w:type="dxa"/>
              <w:left w:w="57" w:type="dxa"/>
              <w:bottom w:w="57" w:type="dxa"/>
              <w:right w:w="57" w:type="dxa"/>
            </w:tcMar>
            <w:vAlign w:val="center"/>
          </w:tcPr>
          <w:p w14:paraId="0C51A46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eastAsia" w:ascii="Times New Roman" w:hAnsi="Times New Roman" w:eastAsia="宋体" w:cs="Times New Roman"/>
                <w:b/>
                <w:bCs/>
                <w:color w:val="auto"/>
                <w:kern w:val="2"/>
                <w:sz w:val="24"/>
                <w:szCs w:val="24"/>
              </w:rPr>
            </w:pPr>
          </w:p>
        </w:tc>
      </w:tr>
      <w:tr w14:paraId="2C94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3DB87304">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1679C94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6171847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2</w:t>
            </w:r>
            <w:r>
              <w:rPr>
                <w:rFonts w:hint="eastAsia" w:ascii="宋体" w:hAnsi="宋体" w:eastAsia="宋体" w:cs="宋体"/>
                <w:b w:val="0"/>
                <w:bCs w:val="0"/>
                <w:color w:val="auto"/>
                <w:kern w:val="2"/>
                <w:sz w:val="24"/>
                <w:szCs w:val="24"/>
                <w:lang w:val="en-US" w:eastAsia="zh-CN" w:bidi="ar"/>
              </w:rPr>
              <w:t>）评价人员资质及有效期应符合要求；评价组成员不少于</w:t>
            </w:r>
            <w:r>
              <w:rPr>
                <w:rFonts w:hint="default" w:ascii="Times New Roman" w:hAnsi="Times New Roman" w:eastAsia="宋体" w:cs="Times New Roman"/>
                <w:b w:val="0"/>
                <w:bCs w:val="0"/>
                <w:color w:val="auto"/>
                <w:kern w:val="2"/>
                <w:sz w:val="24"/>
                <w:szCs w:val="24"/>
                <w:lang w:val="en-US" w:eastAsia="zh-CN" w:bidi="ar"/>
              </w:rPr>
              <w:t>6</w:t>
            </w:r>
            <w:r>
              <w:rPr>
                <w:rFonts w:hint="eastAsia" w:ascii="宋体" w:hAnsi="宋体" w:eastAsia="宋体" w:cs="宋体"/>
                <w:b w:val="0"/>
                <w:bCs w:val="0"/>
                <w:color w:val="auto"/>
                <w:kern w:val="2"/>
                <w:sz w:val="24"/>
                <w:szCs w:val="24"/>
                <w:lang w:val="en-US" w:eastAsia="zh-CN" w:bidi="ar"/>
              </w:rPr>
              <w:t>人，其中化工类高级工程师不少于</w:t>
            </w:r>
            <w:r>
              <w:rPr>
                <w:rFonts w:hint="default" w:ascii="Times New Roman" w:hAnsi="Times New Roman" w:eastAsia="宋体" w:cs="Times New Roman"/>
                <w:b w:val="0"/>
                <w:bCs w:val="0"/>
                <w:color w:val="auto"/>
                <w:kern w:val="2"/>
                <w:sz w:val="24"/>
                <w:szCs w:val="24"/>
                <w:lang w:val="en-US" w:eastAsia="zh-CN" w:bidi="ar"/>
              </w:rPr>
              <w:t>2</w:t>
            </w:r>
            <w:r>
              <w:rPr>
                <w:rFonts w:hint="eastAsia" w:ascii="宋体" w:hAnsi="宋体" w:eastAsia="宋体" w:cs="宋体"/>
                <w:b w:val="0"/>
                <w:bCs w:val="0"/>
                <w:color w:val="auto"/>
                <w:kern w:val="2"/>
                <w:sz w:val="24"/>
                <w:szCs w:val="24"/>
                <w:lang w:val="en-US" w:eastAsia="zh-CN" w:bidi="ar"/>
              </w:rPr>
              <w:t>人；专业范围覆盖化工工艺、化工机械、电气、自动化、安全等；项目组组长须为机构全职人员</w:t>
            </w:r>
            <w:r>
              <w:rPr>
                <w:rFonts w:hint="eastAsia" w:ascii="宋体" w:hAnsi="宋体" w:eastAsia="宋体" w:cs="宋体"/>
                <w:color w:val="auto"/>
                <w:kern w:val="2"/>
                <w:sz w:val="24"/>
                <w:szCs w:val="24"/>
                <w:lang w:val="en-US" w:eastAsia="zh-CN" w:bidi="ar"/>
              </w:rPr>
              <w:t>。</w:t>
            </w:r>
          </w:p>
        </w:tc>
        <w:tc>
          <w:tcPr>
            <w:tcW w:w="606" w:type="pct"/>
            <w:shd w:val="clear" w:color="auto" w:fill="auto"/>
            <w:tcMar>
              <w:top w:w="57" w:type="dxa"/>
              <w:left w:w="57" w:type="dxa"/>
              <w:bottom w:w="57" w:type="dxa"/>
              <w:right w:w="57" w:type="dxa"/>
            </w:tcMar>
            <w:vAlign w:val="center"/>
          </w:tcPr>
          <w:p w14:paraId="1F32EF0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1061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11683A2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321C5FB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65C393E1">
            <w:pPr>
              <w:keepNext w:val="0"/>
              <w:keepLines w:val="0"/>
              <w:pageBreakBefore w:val="0"/>
              <w:widowControl w:val="0"/>
              <w:numPr>
                <w:ilvl w:val="0"/>
                <w:numId w:val="2"/>
              </w:numPr>
              <w:suppressLineNumbers w:val="0"/>
              <w:kinsoku/>
              <w:wordWrap/>
              <w:overflowPunct w:val="0"/>
              <w:topLinePunct w:val="0"/>
              <w:autoSpaceDE/>
              <w:autoSpaceDN/>
              <w:bidi w:val="0"/>
              <w:adjustRightInd w:val="0"/>
              <w:snapToGrid w:val="0"/>
              <w:spacing w:before="0" w:beforeAutospacing="0" w:after="0" w:afterAutospacing="0" w:line="290" w:lineRule="exact"/>
              <w:ind w:left="0" w:right="0"/>
              <w:jc w:val="left"/>
              <w:textAlignment w:val="center"/>
              <w:rPr>
                <w:rFonts w:hint="default" w:ascii="Times New Roman" w:hAnsi="Times New Roman" w:eastAsia="宋体" w:cs="Times New Roman"/>
                <w:b/>
                <w:bCs/>
                <w:color w:val="auto"/>
                <w:kern w:val="2"/>
                <w:sz w:val="24"/>
                <w:szCs w:val="24"/>
              </w:rPr>
            </w:pPr>
            <w:r>
              <w:rPr>
                <w:rFonts w:hint="eastAsia" w:ascii="宋体" w:hAnsi="宋体" w:cs="宋体"/>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编制说明或前言应对项目安全评价组人员专业资质进行说明，签名表应符合《危险化学品建设项目安全评价细则（试行）》的相关要求，包含姓名、在项目组职务（项目组长、成员、报告编制人、报告审核人、技术负责人、过程控制负责人）、职称、专业、资格证书编号等，且应本人亲笔签名，与安全评价机构信息公开表全职技术人员保持一致。签名表加盖评价机构公章。</w:t>
            </w:r>
          </w:p>
          <w:p w14:paraId="104CFF5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应承诺未参与建设项目安全评价活动的人员不得在报告或者有关原始记录上签字。</w:t>
            </w:r>
          </w:p>
        </w:tc>
        <w:tc>
          <w:tcPr>
            <w:tcW w:w="606" w:type="pct"/>
            <w:shd w:val="clear" w:color="auto" w:fill="auto"/>
            <w:tcMar>
              <w:top w:w="57" w:type="dxa"/>
              <w:left w:w="57" w:type="dxa"/>
              <w:bottom w:w="57" w:type="dxa"/>
              <w:right w:w="57" w:type="dxa"/>
            </w:tcMar>
            <w:vAlign w:val="center"/>
          </w:tcPr>
          <w:p w14:paraId="1A9440F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48F0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165D120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p>
        </w:tc>
        <w:tc>
          <w:tcPr>
            <w:tcW w:w="633" w:type="pct"/>
            <w:shd w:val="clear" w:color="auto" w:fill="auto"/>
            <w:tcMar>
              <w:top w:w="57" w:type="dxa"/>
              <w:left w:w="57" w:type="dxa"/>
              <w:bottom w:w="57" w:type="dxa"/>
              <w:right w:w="57" w:type="dxa"/>
            </w:tcMar>
            <w:vAlign w:val="center"/>
          </w:tcPr>
          <w:p w14:paraId="058B5DB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安全条件评价报告格式</w:t>
            </w:r>
          </w:p>
        </w:tc>
        <w:tc>
          <w:tcPr>
            <w:tcW w:w="3348" w:type="pct"/>
            <w:gridSpan w:val="2"/>
            <w:shd w:val="clear" w:color="auto" w:fill="auto"/>
            <w:tcMar>
              <w:top w:w="57" w:type="dxa"/>
              <w:left w:w="57" w:type="dxa"/>
              <w:bottom w:w="57" w:type="dxa"/>
              <w:right w:w="57" w:type="dxa"/>
            </w:tcMar>
            <w:vAlign w:val="center"/>
          </w:tcPr>
          <w:p w14:paraId="31ABC0D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符合《安全评价通则》《安全预评价导则》《危险化学品建设项目安全评价细则（试行）》等相关要求（不同处以《细则》为准）。报告封面加盖建设单位公章；封二、总体结论、与建设单位交换意见页加盖评价机构公章，并用公章对报告进行封页。结论页应有技术负责人、过程控制负责人签名。附件应有安全评价项目组组长及负责勘验人员到现场实际地点开展勘验等有关工作的佐证资料。</w:t>
            </w:r>
          </w:p>
        </w:tc>
        <w:tc>
          <w:tcPr>
            <w:tcW w:w="606" w:type="pct"/>
            <w:shd w:val="clear" w:color="auto" w:fill="auto"/>
            <w:tcMar>
              <w:top w:w="57" w:type="dxa"/>
              <w:left w:w="57" w:type="dxa"/>
              <w:bottom w:w="57" w:type="dxa"/>
              <w:right w:w="57" w:type="dxa"/>
            </w:tcMar>
            <w:vAlign w:val="center"/>
          </w:tcPr>
          <w:p w14:paraId="0F5D9A1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77E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5000" w:type="pct"/>
            <w:gridSpan w:val="5"/>
            <w:shd w:val="clear" w:color="auto" w:fill="auto"/>
            <w:tcMar>
              <w:top w:w="57" w:type="dxa"/>
              <w:left w:w="57" w:type="dxa"/>
              <w:bottom w:w="57" w:type="dxa"/>
              <w:right w:w="57" w:type="dxa"/>
            </w:tcMar>
            <w:vAlign w:val="center"/>
          </w:tcPr>
          <w:p w14:paraId="2E6F6F5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b/>
                <w:bCs w:val="0"/>
                <w:color w:val="auto"/>
                <w:kern w:val="2"/>
                <w:sz w:val="24"/>
                <w:szCs w:val="24"/>
              </w:rPr>
            </w:pPr>
            <w:r>
              <w:rPr>
                <w:rFonts w:hint="eastAsia" w:ascii="宋体" w:hAnsi="宋体" w:eastAsia="宋体" w:cs="宋体"/>
                <w:b/>
                <w:bCs w:val="0"/>
                <w:color w:val="auto"/>
                <w:kern w:val="2"/>
                <w:sz w:val="24"/>
                <w:szCs w:val="24"/>
                <w:lang w:val="en-US" w:eastAsia="zh-CN" w:bidi="ar"/>
              </w:rPr>
              <w:t>二、项目概况</w:t>
            </w:r>
          </w:p>
        </w:tc>
      </w:tr>
      <w:tr w14:paraId="0E0C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79F4CD0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w:t>
            </w:r>
          </w:p>
        </w:tc>
        <w:tc>
          <w:tcPr>
            <w:tcW w:w="633" w:type="pct"/>
            <w:vMerge w:val="restart"/>
            <w:shd w:val="clear" w:color="auto" w:fill="auto"/>
            <w:tcMar>
              <w:top w:w="57" w:type="dxa"/>
              <w:left w:w="57" w:type="dxa"/>
              <w:bottom w:w="57" w:type="dxa"/>
              <w:right w:w="57" w:type="dxa"/>
            </w:tcMar>
            <w:vAlign w:val="center"/>
          </w:tcPr>
          <w:p w14:paraId="4C2AEB2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前言</w:t>
            </w:r>
          </w:p>
        </w:tc>
        <w:tc>
          <w:tcPr>
            <w:tcW w:w="3348" w:type="pct"/>
            <w:gridSpan w:val="2"/>
            <w:shd w:val="clear" w:color="auto" w:fill="auto"/>
            <w:tcMar>
              <w:top w:w="57" w:type="dxa"/>
              <w:left w:w="57" w:type="dxa"/>
              <w:bottom w:w="57" w:type="dxa"/>
              <w:right w:w="57" w:type="dxa"/>
            </w:tcMar>
            <w:vAlign w:val="center"/>
          </w:tcPr>
          <w:p w14:paraId="553D4A6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w:t>
            </w:r>
            <w:r>
              <w:rPr>
                <w:rFonts w:hint="eastAsia" w:ascii="宋体" w:hAnsi="宋体" w:eastAsia="宋体" w:cs="宋体"/>
                <w:color w:val="auto"/>
                <w:kern w:val="2"/>
                <w:sz w:val="24"/>
                <w:szCs w:val="24"/>
                <w:lang w:val="en-US" w:eastAsia="zh-CN" w:bidi="ar"/>
              </w:rPr>
              <w:t>）简述企业概况，概括项目来由、性质、内容，产品用途，项目总投资，明确哪些产品（含中间产品）须申办安全生产</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使用</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经营许可证，哪些危险化学品申办危险化学品登记证。</w:t>
            </w:r>
          </w:p>
        </w:tc>
        <w:tc>
          <w:tcPr>
            <w:tcW w:w="606" w:type="pct"/>
            <w:shd w:val="clear" w:color="auto" w:fill="auto"/>
            <w:tcMar>
              <w:top w:w="57" w:type="dxa"/>
              <w:left w:w="57" w:type="dxa"/>
              <w:bottom w:w="57" w:type="dxa"/>
              <w:right w:w="57" w:type="dxa"/>
            </w:tcMar>
            <w:vAlign w:val="center"/>
          </w:tcPr>
          <w:p w14:paraId="7E1F16E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p>
        </w:tc>
      </w:tr>
      <w:tr w14:paraId="2458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5DF3817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10EC3E0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385812A2">
            <w:pPr>
              <w:keepNext w:val="0"/>
              <w:keepLines w:val="0"/>
              <w:pageBreakBefore w:val="0"/>
              <w:widowControl/>
              <w:suppressLineNumbers w:val="0"/>
              <w:kinsoku/>
              <w:wordWrap/>
              <w:topLinePunct w:val="0"/>
              <w:autoSpaceDE/>
              <w:autoSpaceDN/>
              <w:bidi w:val="0"/>
              <w:spacing w:before="0" w:beforeAutospacing="0" w:after="0" w:afterAutospacing="0" w:line="300" w:lineRule="exact"/>
              <w:ind w:left="0" w:right="0"/>
              <w:jc w:val="left"/>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6</w:t>
            </w:r>
            <w:r>
              <w:rPr>
                <w:rFonts w:hint="eastAsia" w:ascii="宋体" w:hAnsi="宋体" w:eastAsia="宋体" w:cs="宋体"/>
                <w:color w:val="auto"/>
                <w:kern w:val="2"/>
                <w:sz w:val="24"/>
                <w:szCs w:val="24"/>
                <w:lang w:val="en-US" w:eastAsia="zh-CN" w:bidi="ar"/>
              </w:rPr>
              <w:t>）简述并明确建设项目是否涉及如下重大风险项目：</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光气、氯气等一二类急性毒性气体的建设项目；</w:t>
            </w: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涉及硝化、氯化、氟化、重氮化、过氧化危险化工工艺的建设项目；</w:t>
            </w: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生产硝酸铵、硝基胍、氯酸铵、氯酸钾、氯酸钠等（特别是《危险化学品分类信息表》中爆炸物，</w:t>
            </w:r>
            <w:r>
              <w:rPr>
                <w:rFonts w:hint="default" w:ascii="Times New Roman" w:hAnsi="Times New Roman" w:eastAsia="宋体" w:cs="Times New Roman"/>
                <w:color w:val="auto"/>
                <w:kern w:val="2"/>
                <w:sz w:val="24"/>
                <w:szCs w:val="24"/>
                <w:lang w:val="en-US" w:eastAsia="zh-CN" w:bidi="ar"/>
              </w:rPr>
              <w:t>1.1</w:t>
            </w:r>
            <w:r>
              <w:rPr>
                <w:rFonts w:hint="eastAsia" w:ascii="宋体" w:hAnsi="宋体" w:eastAsia="宋体" w:cs="宋体"/>
                <w:color w:val="auto"/>
                <w:kern w:val="2"/>
                <w:sz w:val="24"/>
                <w:szCs w:val="24"/>
                <w:lang w:val="en-US" w:eastAsia="zh-CN" w:bidi="ar"/>
              </w:rPr>
              <w:t>项和氧化性固体，类别</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，下同）的危险化学品建设项目。</w:t>
            </w: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反应工艺危险度</w:t>
            </w: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级及以上的精细化工建设项目（回流蒸馏反应工艺的作备注说明）。</w:t>
            </w:r>
          </w:p>
        </w:tc>
        <w:tc>
          <w:tcPr>
            <w:tcW w:w="606" w:type="pct"/>
            <w:shd w:val="clear" w:color="auto" w:fill="auto"/>
            <w:tcMar>
              <w:top w:w="57" w:type="dxa"/>
              <w:left w:w="57" w:type="dxa"/>
              <w:bottom w:w="57" w:type="dxa"/>
              <w:right w:w="57" w:type="dxa"/>
            </w:tcMar>
            <w:vAlign w:val="center"/>
          </w:tcPr>
          <w:p w14:paraId="587FA5BF">
            <w:pPr>
              <w:keepNext w:val="0"/>
              <w:keepLines w:val="0"/>
              <w:pageBreakBefore w:val="0"/>
              <w:widowControl/>
              <w:suppressLineNumbers w:val="0"/>
              <w:kinsoku/>
              <w:wordWrap/>
              <w:topLinePunct w:val="0"/>
              <w:autoSpaceDE/>
              <w:autoSpaceDN/>
              <w:bidi w:val="0"/>
              <w:spacing w:before="0" w:beforeAutospacing="0" w:after="0" w:afterAutospacing="0" w:line="280" w:lineRule="exact"/>
              <w:ind w:left="0" w:right="0"/>
              <w:jc w:val="left"/>
              <w:rPr>
                <w:rFonts w:hint="default" w:ascii="Times New Roman" w:hAnsi="Times New Roman" w:eastAsia="宋体" w:cs="Times New Roman"/>
                <w:color w:val="auto"/>
                <w:kern w:val="2"/>
                <w:sz w:val="24"/>
                <w:szCs w:val="24"/>
              </w:rPr>
            </w:pPr>
          </w:p>
        </w:tc>
      </w:tr>
      <w:tr w14:paraId="0D08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3A5FB64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09B6A85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724BCA2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7</w:t>
            </w:r>
            <w:r>
              <w:rPr>
                <w:rFonts w:hint="eastAsia" w:ascii="宋体" w:hAnsi="宋体" w:eastAsia="宋体" w:cs="宋体"/>
                <w:b w:val="0"/>
                <w:bCs w:val="0"/>
                <w:color w:val="auto"/>
                <w:kern w:val="2"/>
                <w:sz w:val="24"/>
                <w:szCs w:val="24"/>
                <w:lang w:val="en-US" w:eastAsia="zh-CN" w:bidi="ar"/>
              </w:rPr>
              <w:t>）应准确界定描述项目安全评价对象、范围、依据及工作经过，安全评价范围应明确并列表说明，与固定资产投资项目备案证或核准文件建设内容、建设性质和规模保持一致（分期建设的应作出说明）。</w:t>
            </w:r>
          </w:p>
        </w:tc>
        <w:tc>
          <w:tcPr>
            <w:tcW w:w="606" w:type="pct"/>
            <w:shd w:val="clear" w:color="auto" w:fill="auto"/>
            <w:tcMar>
              <w:top w:w="57" w:type="dxa"/>
              <w:left w:w="57" w:type="dxa"/>
              <w:bottom w:w="57" w:type="dxa"/>
              <w:right w:w="57" w:type="dxa"/>
            </w:tcMar>
            <w:vAlign w:val="center"/>
          </w:tcPr>
          <w:p w14:paraId="4552BF1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eastAsia" w:ascii="Times New Roman" w:hAnsi="Times New Roman" w:eastAsia="宋体" w:cs="Times New Roman"/>
                <w:b/>
                <w:bCs/>
                <w:color w:val="auto"/>
                <w:kern w:val="2"/>
                <w:sz w:val="24"/>
                <w:szCs w:val="24"/>
              </w:rPr>
            </w:pPr>
          </w:p>
        </w:tc>
      </w:tr>
      <w:tr w14:paraId="5220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3D6110C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w:t>
            </w:r>
          </w:p>
        </w:tc>
        <w:tc>
          <w:tcPr>
            <w:tcW w:w="633" w:type="pct"/>
            <w:vMerge w:val="restart"/>
            <w:shd w:val="clear" w:color="auto" w:fill="auto"/>
            <w:tcMar>
              <w:top w:w="57" w:type="dxa"/>
              <w:left w:w="57" w:type="dxa"/>
              <w:bottom w:w="57" w:type="dxa"/>
              <w:right w:w="57" w:type="dxa"/>
            </w:tcMar>
            <w:vAlign w:val="center"/>
          </w:tcPr>
          <w:p w14:paraId="5A3AA3F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建设</w:t>
            </w:r>
          </w:p>
          <w:p w14:paraId="53A2211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项目</w:t>
            </w:r>
          </w:p>
          <w:p w14:paraId="09A3977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情况</w:t>
            </w:r>
          </w:p>
        </w:tc>
        <w:tc>
          <w:tcPr>
            <w:tcW w:w="3348" w:type="pct"/>
            <w:gridSpan w:val="2"/>
            <w:shd w:val="clear" w:color="auto" w:fill="auto"/>
            <w:tcMar>
              <w:top w:w="57" w:type="dxa"/>
              <w:left w:w="57" w:type="dxa"/>
              <w:bottom w:w="57" w:type="dxa"/>
              <w:right w:w="57" w:type="dxa"/>
            </w:tcMar>
            <w:vAlign w:val="center"/>
          </w:tcPr>
          <w:p w14:paraId="2FDDA91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8</w:t>
            </w:r>
            <w:r>
              <w:rPr>
                <w:rFonts w:hint="eastAsia" w:ascii="宋体" w:hAnsi="宋体" w:eastAsia="宋体" w:cs="宋体"/>
                <w:color w:val="auto"/>
                <w:kern w:val="2"/>
                <w:sz w:val="24"/>
                <w:szCs w:val="24"/>
                <w:lang w:val="en-US" w:eastAsia="zh-CN" w:bidi="ar"/>
              </w:rPr>
              <w:t>）应说明建设项目设计上采用的主要技术、工艺（方式）和国内外同类建设项目水平对比情况。</w:t>
            </w:r>
          </w:p>
        </w:tc>
        <w:tc>
          <w:tcPr>
            <w:tcW w:w="606" w:type="pct"/>
            <w:shd w:val="clear" w:color="auto" w:fill="auto"/>
            <w:tcMar>
              <w:top w:w="57" w:type="dxa"/>
              <w:left w:w="57" w:type="dxa"/>
              <w:bottom w:w="57" w:type="dxa"/>
              <w:right w:w="57" w:type="dxa"/>
            </w:tcMar>
            <w:vAlign w:val="center"/>
          </w:tcPr>
          <w:p w14:paraId="2908B4B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6574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42F45FC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6B8A358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top"/>
          </w:tcPr>
          <w:p w14:paraId="72DB695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w:t>
            </w:r>
            <w:r>
              <w:rPr>
                <w:rFonts w:hint="eastAsia" w:ascii="宋体" w:hAnsi="宋体" w:eastAsia="宋体" w:cs="宋体"/>
                <w:color w:val="auto"/>
                <w:kern w:val="2"/>
                <w:sz w:val="24"/>
                <w:szCs w:val="24"/>
                <w:lang w:val="en-US" w:eastAsia="zh-CN" w:bidi="ar"/>
              </w:rPr>
              <w:t>）应明确表述产品生产工艺是否属于国内首次使用的化工工艺。</w:t>
            </w:r>
          </w:p>
        </w:tc>
        <w:tc>
          <w:tcPr>
            <w:tcW w:w="606" w:type="pct"/>
            <w:shd w:val="clear" w:color="auto" w:fill="auto"/>
            <w:tcMar>
              <w:top w:w="57" w:type="dxa"/>
              <w:left w:w="57" w:type="dxa"/>
              <w:bottom w:w="57" w:type="dxa"/>
              <w:right w:w="57" w:type="dxa"/>
            </w:tcMar>
            <w:vAlign w:val="top"/>
          </w:tcPr>
          <w:p w14:paraId="7E96F37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6FC4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1CBE894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71F5C1F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top"/>
          </w:tcPr>
          <w:p w14:paraId="7C1AF9F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10</w:t>
            </w:r>
            <w:r>
              <w:rPr>
                <w:rFonts w:hint="eastAsia" w:ascii="宋体" w:hAnsi="宋体" w:eastAsia="宋体" w:cs="宋体"/>
                <w:b w:val="0"/>
                <w:bCs w:val="0"/>
                <w:color w:val="auto"/>
                <w:kern w:val="2"/>
                <w:sz w:val="24"/>
                <w:szCs w:val="24"/>
                <w:lang w:val="en-US" w:eastAsia="zh-CN" w:bidi="ar"/>
              </w:rPr>
              <w:t>）精细化工项目应按规定进行反应安全风险评估并确定反应工艺危险度等级，涉及硝化、氯化、氟化、重氮化、过氧化工艺的精细化工生产建设项目应进行有关产品生产工艺全流程的反应安全风险评估，并对相关原料、中间产品、产品及副产物进行热稳定性测试和蒸馏、干馏、干燥、储存等单元操作进行风险评估。</w:t>
            </w:r>
          </w:p>
          <w:p w14:paraId="380B93E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开展反应安全风险评估单位应具备中国合格评定国家认</w:t>
            </w:r>
          </w:p>
          <w:p w14:paraId="4ACC776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可实验室（</w:t>
            </w:r>
            <w:r>
              <w:rPr>
                <w:rFonts w:hint="default" w:ascii="Times New Roman" w:hAnsi="Times New Roman" w:eastAsia="宋体" w:cs="Times New Roman"/>
                <w:color w:val="auto"/>
                <w:kern w:val="2"/>
                <w:sz w:val="24"/>
                <w:szCs w:val="24"/>
                <w:lang w:val="en-US" w:eastAsia="zh-CN" w:bidi="ar"/>
              </w:rPr>
              <w:t>CNAS</w:t>
            </w:r>
            <w:r>
              <w:rPr>
                <w:rFonts w:hint="eastAsia" w:ascii="宋体" w:hAnsi="宋体" w:eastAsia="宋体" w:cs="宋体"/>
                <w:color w:val="auto"/>
                <w:kern w:val="2"/>
                <w:sz w:val="24"/>
                <w:szCs w:val="24"/>
                <w:lang w:val="en-US" w:eastAsia="zh-CN" w:bidi="ar"/>
              </w:rPr>
              <w:t>认可实验室）资质和中国计量认证（</w:t>
            </w:r>
            <w:r>
              <w:rPr>
                <w:rFonts w:hint="default" w:ascii="Times New Roman" w:hAnsi="Times New Roman" w:eastAsia="宋体" w:cs="Times New Roman"/>
                <w:color w:val="auto"/>
                <w:kern w:val="2"/>
                <w:sz w:val="24"/>
                <w:szCs w:val="24"/>
                <w:lang w:val="en-US" w:eastAsia="zh-CN" w:bidi="ar"/>
              </w:rPr>
              <w:t>CMA</w:t>
            </w:r>
            <w:r>
              <w:rPr>
                <w:rFonts w:hint="eastAsia" w:ascii="宋体" w:hAnsi="宋体" w:eastAsia="宋体" w:cs="宋体"/>
                <w:color w:val="auto"/>
                <w:kern w:val="2"/>
                <w:sz w:val="24"/>
                <w:szCs w:val="24"/>
                <w:lang w:val="en-US" w:eastAsia="zh-CN" w:bidi="ar"/>
              </w:rPr>
              <w:t>认可实验室）资质条件。</w:t>
            </w:r>
          </w:p>
        </w:tc>
        <w:tc>
          <w:tcPr>
            <w:tcW w:w="606" w:type="pct"/>
            <w:shd w:val="clear" w:color="auto" w:fill="auto"/>
            <w:tcMar>
              <w:top w:w="57" w:type="dxa"/>
              <w:left w:w="57" w:type="dxa"/>
              <w:bottom w:w="57" w:type="dxa"/>
              <w:right w:w="57" w:type="dxa"/>
            </w:tcMar>
            <w:vAlign w:val="top"/>
          </w:tcPr>
          <w:p w14:paraId="15657A0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eastAsia" w:ascii="Times New Roman" w:hAnsi="Times New Roman" w:eastAsia="宋体" w:cs="Times New Roman"/>
                <w:b/>
                <w:bCs/>
                <w:color w:val="auto"/>
                <w:kern w:val="2"/>
                <w:sz w:val="24"/>
                <w:szCs w:val="24"/>
              </w:rPr>
            </w:pPr>
          </w:p>
        </w:tc>
      </w:tr>
      <w:tr w14:paraId="34F0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1B1006F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14A3DA14">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top"/>
          </w:tcPr>
          <w:p w14:paraId="572F7CB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b w:val="0"/>
                <w:bCs w:val="0"/>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11</w:t>
            </w:r>
            <w:r>
              <w:rPr>
                <w:rFonts w:hint="eastAsia" w:ascii="宋体" w:hAnsi="宋体" w:eastAsia="宋体" w:cs="宋体"/>
                <w:color w:val="auto"/>
                <w:kern w:val="2"/>
                <w:sz w:val="24"/>
                <w:szCs w:val="24"/>
                <w:lang w:val="en-US" w:eastAsia="zh-CN" w:bidi="ar"/>
              </w:rPr>
              <w:t>）说明项目的地理位置、用地面积和生产（储存）规模。主要建设内容如主体工程、公辅工程、储运工程应列表说明。</w:t>
            </w:r>
            <w:r>
              <w:rPr>
                <w:rFonts w:hint="eastAsia" w:ascii="宋体" w:hAnsi="宋体" w:eastAsia="宋体" w:cs="宋体"/>
                <w:b w:val="0"/>
                <w:bCs w:val="0"/>
                <w:color w:val="auto"/>
                <w:kern w:val="2"/>
                <w:sz w:val="24"/>
                <w:szCs w:val="24"/>
                <w:lang w:val="en-US" w:eastAsia="zh-CN" w:bidi="ar"/>
              </w:rPr>
              <w:t>涉及装置共用（线）生产不同产品的应特别说明。</w:t>
            </w:r>
          </w:p>
          <w:p w14:paraId="2E9348C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属于现有企业新、改、扩建项目的，还应描述项目与现有装置相互影响的基本情况，并列表说明项目建设前后的平面布局、建（构）筑物、设备设施等变化的对比情况。</w:t>
            </w:r>
          </w:p>
        </w:tc>
        <w:tc>
          <w:tcPr>
            <w:tcW w:w="606" w:type="pct"/>
            <w:shd w:val="clear" w:color="auto" w:fill="auto"/>
            <w:tcMar>
              <w:top w:w="57" w:type="dxa"/>
              <w:left w:w="57" w:type="dxa"/>
              <w:bottom w:w="57" w:type="dxa"/>
              <w:right w:w="57" w:type="dxa"/>
            </w:tcMar>
            <w:vAlign w:val="top"/>
          </w:tcPr>
          <w:p w14:paraId="31C7E93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0586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311102F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588CDBD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3A5FE5C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12</w:t>
            </w:r>
            <w:r>
              <w:rPr>
                <w:rFonts w:hint="eastAsia" w:ascii="宋体" w:hAnsi="宋体" w:eastAsia="宋体" w:cs="宋体"/>
                <w:color w:val="auto"/>
                <w:kern w:val="2"/>
                <w:sz w:val="24"/>
                <w:szCs w:val="24"/>
                <w:lang w:val="en-US" w:eastAsia="zh-CN" w:bidi="ar"/>
              </w:rPr>
              <w:t>）</w:t>
            </w:r>
            <w:r>
              <w:rPr>
                <w:rFonts w:hint="eastAsia" w:ascii="宋体" w:hAnsi="宋体" w:eastAsia="宋体" w:cs="宋体"/>
                <w:b w:val="0"/>
                <w:bCs w:val="0"/>
                <w:color w:val="auto"/>
                <w:kern w:val="2"/>
                <w:sz w:val="24"/>
                <w:szCs w:val="24"/>
                <w:lang w:val="en-US" w:eastAsia="zh-CN" w:bidi="ar"/>
              </w:rPr>
              <w:t>依托现有装置、利旧设备或旧系统的，应列表明确说明</w:t>
            </w:r>
            <w:r>
              <w:rPr>
                <w:rFonts w:hint="eastAsia" w:ascii="宋体" w:hAnsi="宋体" w:eastAsia="宋体" w:cs="宋体"/>
                <w:b/>
                <w:bCs/>
                <w:color w:val="auto"/>
                <w:kern w:val="2"/>
                <w:sz w:val="24"/>
                <w:szCs w:val="24"/>
                <w:lang w:val="en-US" w:eastAsia="zh-CN" w:bidi="ar"/>
              </w:rPr>
              <w:t>。</w:t>
            </w:r>
          </w:p>
        </w:tc>
        <w:tc>
          <w:tcPr>
            <w:tcW w:w="606" w:type="pct"/>
            <w:shd w:val="clear" w:color="auto" w:fill="auto"/>
            <w:tcMar>
              <w:top w:w="57" w:type="dxa"/>
              <w:left w:w="57" w:type="dxa"/>
              <w:bottom w:w="57" w:type="dxa"/>
              <w:right w:w="57" w:type="dxa"/>
            </w:tcMar>
            <w:vAlign w:val="center"/>
          </w:tcPr>
          <w:p w14:paraId="2F160B1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eastAsia" w:ascii="Times New Roman" w:hAnsi="Times New Roman" w:eastAsia="宋体" w:cs="Times New Roman"/>
                <w:color w:val="auto"/>
                <w:kern w:val="2"/>
                <w:sz w:val="24"/>
                <w:szCs w:val="24"/>
              </w:rPr>
            </w:pPr>
          </w:p>
        </w:tc>
      </w:tr>
      <w:tr w14:paraId="7C0A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754894E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5</w:t>
            </w:r>
          </w:p>
        </w:tc>
        <w:tc>
          <w:tcPr>
            <w:tcW w:w="633" w:type="pct"/>
            <w:vMerge w:val="restart"/>
            <w:shd w:val="clear" w:color="auto" w:fill="auto"/>
            <w:tcMar>
              <w:top w:w="57" w:type="dxa"/>
              <w:left w:w="57" w:type="dxa"/>
              <w:bottom w:w="57" w:type="dxa"/>
              <w:right w:w="57" w:type="dxa"/>
            </w:tcMar>
            <w:vAlign w:val="center"/>
          </w:tcPr>
          <w:p w14:paraId="1E3BF89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产业</w:t>
            </w:r>
          </w:p>
          <w:p w14:paraId="4DC4E74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政策</w:t>
            </w:r>
          </w:p>
          <w:p w14:paraId="5AFB562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与布</w:t>
            </w:r>
          </w:p>
          <w:p w14:paraId="5F5E732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局</w:t>
            </w:r>
          </w:p>
        </w:tc>
        <w:tc>
          <w:tcPr>
            <w:tcW w:w="3348" w:type="pct"/>
            <w:gridSpan w:val="2"/>
            <w:shd w:val="clear" w:color="auto" w:fill="auto"/>
            <w:tcMar>
              <w:top w:w="57" w:type="dxa"/>
              <w:left w:w="57" w:type="dxa"/>
              <w:bottom w:w="57" w:type="dxa"/>
              <w:right w:w="57" w:type="dxa"/>
            </w:tcMar>
            <w:vAlign w:val="center"/>
          </w:tcPr>
          <w:p w14:paraId="517BDB8A">
            <w:pPr>
              <w:keepNext w:val="0"/>
              <w:keepLines w:val="0"/>
              <w:widowControl w:val="0"/>
              <w:numPr>
                <w:ilvl w:val="-1"/>
                <w:numId w:val="0"/>
              </w:numPr>
              <w:suppressLineNumbers w:val="0"/>
              <w:overflowPunct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13</w:t>
            </w:r>
            <w:r>
              <w:rPr>
                <w:rFonts w:hint="eastAsia" w:ascii="宋体" w:hAnsi="宋体" w:eastAsia="宋体" w:cs="宋体"/>
                <w:b w:val="0"/>
                <w:bCs w:val="0"/>
                <w:color w:val="auto"/>
                <w:kern w:val="2"/>
                <w:sz w:val="24"/>
                <w:szCs w:val="24"/>
                <w:lang w:val="en-US" w:eastAsia="zh-CN" w:bidi="ar"/>
              </w:rPr>
              <w:t>）项目应符合国家和省以及所在市产业发展定位和“禁限控”目录，新建、扩建危险化学品生产建设项目应符合所在化工园区产业发展规划及入园条件</w:t>
            </w:r>
            <w:r>
              <w:rPr>
                <w:rFonts w:hint="eastAsia" w:ascii="宋体" w:hAnsi="宋体" w:eastAsia="宋体" w:cs="宋体"/>
                <w:b/>
                <w:bCs/>
                <w:color w:val="auto"/>
                <w:kern w:val="2"/>
                <w:sz w:val="24"/>
                <w:szCs w:val="24"/>
                <w:lang w:val="en-US" w:eastAsia="zh-CN" w:bidi="ar"/>
              </w:rPr>
              <w:t>，</w:t>
            </w:r>
            <w:r>
              <w:rPr>
                <w:rFonts w:hint="default" w:ascii="宋体" w:hAnsi="宋体" w:cs="宋体"/>
                <w:b w:val="0"/>
                <w:bCs w:val="0"/>
                <w:color w:val="auto"/>
                <w:kern w:val="2"/>
                <w:sz w:val="24"/>
                <w:szCs w:val="24"/>
                <w:lang w:eastAsia="zh-CN" w:bidi="ar"/>
              </w:rPr>
              <w:t>并附</w:t>
            </w:r>
            <w:r>
              <w:rPr>
                <w:rFonts w:hint="default" w:ascii="宋体" w:hAnsi="宋体" w:eastAsia="宋体" w:cs="宋体"/>
                <w:b w:val="0"/>
                <w:bCs w:val="0"/>
                <w:color w:val="auto"/>
                <w:kern w:val="2"/>
                <w:sz w:val="24"/>
                <w:szCs w:val="24"/>
                <w:lang w:val="en-US" w:eastAsia="zh-CN" w:bidi="ar"/>
              </w:rPr>
              <w:t>危险化学品建设项目决策咨询服务意见</w:t>
            </w:r>
            <w:r>
              <w:rPr>
                <w:rFonts w:hint="eastAsia" w:ascii="宋体" w:hAnsi="宋体" w:eastAsia="宋体" w:cs="宋体"/>
                <w:b w:val="0"/>
                <w:bCs w:val="0"/>
                <w:color w:val="auto"/>
                <w:kern w:val="2"/>
                <w:sz w:val="24"/>
                <w:szCs w:val="24"/>
                <w:lang w:val="en-US" w:eastAsia="zh-CN" w:bidi="ar"/>
              </w:rPr>
              <w:t>。</w:t>
            </w:r>
          </w:p>
          <w:p w14:paraId="33A5CB7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属于限制类项目且有豁免条件的或属于鼓励类的应作出合规性说明。报告应阐述并附建设项目批准、核准或者备案相关文件。</w:t>
            </w:r>
          </w:p>
        </w:tc>
        <w:tc>
          <w:tcPr>
            <w:tcW w:w="606" w:type="pct"/>
            <w:shd w:val="clear" w:color="auto" w:fill="auto"/>
            <w:tcMar>
              <w:top w:w="57" w:type="dxa"/>
              <w:left w:w="57" w:type="dxa"/>
              <w:bottom w:w="57" w:type="dxa"/>
              <w:right w:w="57" w:type="dxa"/>
            </w:tcMar>
            <w:vAlign w:val="center"/>
          </w:tcPr>
          <w:p w14:paraId="4D12D3C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eastAsia" w:ascii="Times New Roman" w:hAnsi="Times New Roman" w:eastAsia="宋体" w:cs="Times New Roman"/>
                <w:b/>
                <w:bCs/>
                <w:color w:val="auto"/>
                <w:kern w:val="2"/>
                <w:sz w:val="24"/>
                <w:szCs w:val="24"/>
              </w:rPr>
            </w:pPr>
          </w:p>
        </w:tc>
      </w:tr>
      <w:tr w14:paraId="2279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65197B3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5D8BD354">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1D42AC8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14</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对是否涉及国家明令禁止生产、使用、经营的危险化学品，涉及国家明令淘汰的工艺、设备和淘汰落后的安全生产工艺技术设备，以及危险化学品禁限控目录内容表述应清楚。</w:t>
            </w:r>
          </w:p>
        </w:tc>
        <w:tc>
          <w:tcPr>
            <w:tcW w:w="606" w:type="pct"/>
            <w:shd w:val="clear" w:color="auto" w:fill="auto"/>
            <w:tcMar>
              <w:top w:w="57" w:type="dxa"/>
              <w:left w:w="57" w:type="dxa"/>
              <w:bottom w:w="57" w:type="dxa"/>
              <w:right w:w="57" w:type="dxa"/>
            </w:tcMar>
            <w:vAlign w:val="center"/>
          </w:tcPr>
          <w:p w14:paraId="260603C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eastAsia" w:ascii="Times New Roman" w:hAnsi="Times New Roman" w:eastAsia="宋体" w:cs="Times New Roman"/>
                <w:b/>
                <w:bCs/>
                <w:color w:val="auto"/>
                <w:kern w:val="2"/>
                <w:sz w:val="24"/>
                <w:szCs w:val="24"/>
              </w:rPr>
            </w:pPr>
          </w:p>
        </w:tc>
      </w:tr>
      <w:tr w14:paraId="3F80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795A12D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22FCA44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55CAEC7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15</w:t>
            </w:r>
            <w:r>
              <w:rPr>
                <w:rFonts w:hint="eastAsia" w:ascii="宋体" w:hAnsi="宋体" w:eastAsia="宋体" w:cs="宋体"/>
                <w:b w:val="0"/>
                <w:bCs w:val="0"/>
                <w:color w:val="auto"/>
                <w:kern w:val="2"/>
                <w:sz w:val="24"/>
                <w:szCs w:val="24"/>
                <w:lang w:val="en-US" w:eastAsia="zh-CN" w:bidi="ar"/>
              </w:rPr>
              <w:t>）</w:t>
            </w:r>
            <w:r>
              <w:rPr>
                <w:rFonts w:hint="eastAsia" w:ascii="宋体" w:hAnsi="宋体" w:eastAsia="宋体" w:cs="宋体"/>
                <w:b w:val="0"/>
                <w:bCs w:val="0"/>
                <w:color w:val="auto"/>
                <w:spacing w:val="-6"/>
                <w:kern w:val="2"/>
                <w:sz w:val="24"/>
                <w:szCs w:val="24"/>
                <w:lang w:val="en-US" w:eastAsia="zh-CN" w:bidi="ar"/>
              </w:rPr>
              <w:t>项目所在化工园区或化工集中区状况应作合规性说明，附省级复核认定结论。概述安全防护距离内居民搬迁、双电源、水、气、消防、气防站</w:t>
            </w:r>
            <w:r>
              <w:rPr>
                <w:rFonts w:hint="eastAsia" w:ascii="宋体" w:hAnsi="宋体" w:eastAsia="宋体" w:cs="宋体"/>
                <w:color w:val="auto"/>
                <w:spacing w:val="-6"/>
                <w:kern w:val="2"/>
                <w:sz w:val="24"/>
                <w:szCs w:val="24"/>
                <w:lang w:val="en-US" w:eastAsia="zh-CN" w:bidi="ar"/>
              </w:rPr>
              <w:t>、</w:t>
            </w:r>
            <w:r>
              <w:rPr>
                <w:rFonts w:hint="eastAsia" w:ascii="宋体" w:hAnsi="宋体" w:eastAsia="宋体" w:cs="宋体"/>
                <w:b w:val="0"/>
                <w:bCs w:val="0"/>
                <w:color w:val="auto"/>
                <w:spacing w:val="-6"/>
                <w:kern w:val="2"/>
                <w:sz w:val="24"/>
                <w:szCs w:val="24"/>
                <w:lang w:val="en-US" w:eastAsia="zh-CN" w:bidi="ar"/>
              </w:rPr>
              <w:t>医院等配套符合性的情况。</w:t>
            </w:r>
          </w:p>
        </w:tc>
        <w:tc>
          <w:tcPr>
            <w:tcW w:w="606" w:type="pct"/>
            <w:shd w:val="clear" w:color="auto" w:fill="auto"/>
            <w:tcMar>
              <w:top w:w="57" w:type="dxa"/>
              <w:left w:w="57" w:type="dxa"/>
              <w:bottom w:w="57" w:type="dxa"/>
              <w:right w:w="57" w:type="dxa"/>
            </w:tcMar>
            <w:vAlign w:val="center"/>
          </w:tcPr>
          <w:p w14:paraId="753588F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120C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1387EE6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6</w:t>
            </w:r>
          </w:p>
        </w:tc>
        <w:tc>
          <w:tcPr>
            <w:tcW w:w="633" w:type="pct"/>
            <w:shd w:val="clear" w:color="auto" w:fill="auto"/>
            <w:tcMar>
              <w:top w:w="57" w:type="dxa"/>
              <w:left w:w="57" w:type="dxa"/>
              <w:bottom w:w="57" w:type="dxa"/>
              <w:right w:w="57" w:type="dxa"/>
            </w:tcMar>
            <w:vAlign w:val="center"/>
          </w:tcPr>
          <w:p w14:paraId="4245357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项目</w:t>
            </w:r>
          </w:p>
          <w:p w14:paraId="46FCECF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周边</w:t>
            </w:r>
          </w:p>
          <w:p w14:paraId="660560D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情况</w:t>
            </w:r>
          </w:p>
        </w:tc>
        <w:tc>
          <w:tcPr>
            <w:tcW w:w="3348" w:type="pct"/>
            <w:gridSpan w:val="2"/>
            <w:shd w:val="clear" w:color="auto" w:fill="auto"/>
            <w:tcMar>
              <w:top w:w="57" w:type="dxa"/>
              <w:left w:w="57" w:type="dxa"/>
              <w:bottom w:w="57" w:type="dxa"/>
              <w:right w:w="57" w:type="dxa"/>
            </w:tcMar>
            <w:vAlign w:val="center"/>
          </w:tcPr>
          <w:p w14:paraId="177F651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16</w:t>
            </w:r>
            <w:r>
              <w:rPr>
                <w:rFonts w:hint="eastAsia" w:ascii="宋体" w:hAnsi="宋体" w:eastAsia="宋体" w:cs="宋体"/>
                <w:b w:val="0"/>
                <w:bCs w:val="0"/>
                <w:color w:val="auto"/>
                <w:kern w:val="2"/>
                <w:sz w:val="24"/>
                <w:szCs w:val="24"/>
                <w:lang w:val="en-US" w:eastAsia="zh-CN" w:bidi="ar"/>
              </w:rPr>
              <w:t>）项目周边的居住区、单位、道路、江河、重要设施等应表述清楚；建设项目与已有生产、储存装置间的关系应表述清楚。选址位置图、区域位置图应配置在报告文本相应文字位置或以附图形式体现，区域位置图中项目周边设施应清楚并标注间距</w:t>
            </w:r>
            <w:r>
              <w:rPr>
                <w:rFonts w:hint="eastAsia" w:ascii="宋体" w:hAnsi="宋体" w:eastAsia="宋体" w:cs="宋体"/>
                <w:color w:val="auto"/>
                <w:kern w:val="2"/>
                <w:sz w:val="24"/>
                <w:szCs w:val="24"/>
                <w:lang w:val="en-US" w:eastAsia="zh-CN" w:bidi="ar"/>
              </w:rPr>
              <w:t>。</w:t>
            </w:r>
          </w:p>
        </w:tc>
        <w:tc>
          <w:tcPr>
            <w:tcW w:w="606" w:type="pct"/>
            <w:shd w:val="clear" w:color="auto" w:fill="auto"/>
            <w:tcMar>
              <w:top w:w="57" w:type="dxa"/>
              <w:left w:w="57" w:type="dxa"/>
              <w:bottom w:w="57" w:type="dxa"/>
              <w:right w:w="57" w:type="dxa"/>
            </w:tcMar>
            <w:vAlign w:val="center"/>
          </w:tcPr>
          <w:p w14:paraId="17D8A3D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eastAsia" w:ascii="Times New Roman" w:hAnsi="Times New Roman" w:eastAsia="宋体" w:cs="Times New Roman"/>
                <w:b/>
                <w:bCs/>
                <w:color w:val="auto"/>
                <w:kern w:val="2"/>
                <w:sz w:val="24"/>
                <w:szCs w:val="24"/>
              </w:rPr>
            </w:pPr>
          </w:p>
        </w:tc>
      </w:tr>
      <w:tr w14:paraId="0E6F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23B26A8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7</w:t>
            </w:r>
          </w:p>
        </w:tc>
        <w:tc>
          <w:tcPr>
            <w:tcW w:w="633" w:type="pct"/>
            <w:vMerge w:val="restart"/>
            <w:shd w:val="clear" w:color="auto" w:fill="auto"/>
            <w:tcMar>
              <w:top w:w="57" w:type="dxa"/>
              <w:left w:w="57" w:type="dxa"/>
              <w:bottom w:w="57" w:type="dxa"/>
              <w:right w:w="57" w:type="dxa"/>
            </w:tcMar>
            <w:vAlign w:val="center"/>
          </w:tcPr>
          <w:p w14:paraId="27F782C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原料和</w:t>
            </w:r>
          </w:p>
          <w:p w14:paraId="2F2B004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产品</w:t>
            </w:r>
          </w:p>
        </w:tc>
        <w:tc>
          <w:tcPr>
            <w:tcW w:w="3348" w:type="pct"/>
            <w:gridSpan w:val="2"/>
            <w:shd w:val="clear" w:color="auto" w:fill="auto"/>
            <w:tcMar>
              <w:top w:w="57" w:type="dxa"/>
              <w:left w:w="57" w:type="dxa"/>
              <w:bottom w:w="57" w:type="dxa"/>
              <w:right w:w="57" w:type="dxa"/>
            </w:tcMar>
            <w:vAlign w:val="center"/>
          </w:tcPr>
          <w:p w14:paraId="0ABFF73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17</w:t>
            </w:r>
            <w:r>
              <w:rPr>
                <w:rFonts w:hint="eastAsia" w:ascii="宋体" w:hAnsi="宋体" w:eastAsia="宋体" w:cs="宋体"/>
                <w:color w:val="auto"/>
                <w:kern w:val="2"/>
                <w:sz w:val="24"/>
                <w:szCs w:val="24"/>
                <w:lang w:val="en-US" w:eastAsia="zh-CN" w:bidi="ar"/>
              </w:rPr>
              <w:t>）列表说明原辅材料、产品（包括副产品）、中间产品的名称、年产量（使用量）、单耗量、最大储存量及周期、储存地点、储存方式、运输方式、火灾类别等内容。对产业结构调整目录中限制类但有豁免条件的，应对原料供应来源作可靠性分析。</w:t>
            </w:r>
          </w:p>
        </w:tc>
        <w:tc>
          <w:tcPr>
            <w:tcW w:w="606" w:type="pct"/>
            <w:shd w:val="clear" w:color="auto" w:fill="auto"/>
            <w:tcMar>
              <w:top w:w="57" w:type="dxa"/>
              <w:left w:w="57" w:type="dxa"/>
              <w:bottom w:w="57" w:type="dxa"/>
              <w:right w:w="57" w:type="dxa"/>
            </w:tcMar>
            <w:vAlign w:val="center"/>
          </w:tcPr>
          <w:p w14:paraId="57151AD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p>
        </w:tc>
      </w:tr>
      <w:tr w14:paraId="7BBE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0305631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6AEA781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03822AB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18</w:t>
            </w:r>
            <w:r>
              <w:rPr>
                <w:rFonts w:hint="eastAsia" w:ascii="宋体" w:hAnsi="宋体" w:eastAsia="宋体" w:cs="宋体"/>
                <w:color w:val="auto"/>
                <w:kern w:val="2"/>
                <w:sz w:val="24"/>
                <w:szCs w:val="24"/>
                <w:lang w:val="en-US" w:eastAsia="zh-CN" w:bidi="ar"/>
              </w:rPr>
              <w:t>）应列表说明原辅材料（包含催化剂、制冷剂、反应助剂等）、产品（包括副产品）、中间产品、理化性质及危险特性，应明确其包装、储存、运输技术要求。名称应与《危险化学品目录》一致并符合《化学品命名通则》要求，混合物和使用商品名的物料清楚标明其主要成分（组分）和理化性质及危险特性。对废物（气、液、固）相互禁忌、腐蚀、静电累积等风险进行辨识，特别是多个化学品储罐尾气收集管道相互连通的安全风险。</w:t>
            </w:r>
          </w:p>
          <w:p w14:paraId="4CBCA6B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有保密要求的物料须注明是否属于危险化学品</w:t>
            </w:r>
            <w:r>
              <w:rPr>
                <w:rFonts w:hint="eastAsia" w:ascii="宋体" w:hAnsi="宋体" w:cs="宋体"/>
                <w:color w:val="auto"/>
                <w:kern w:val="2"/>
                <w:sz w:val="24"/>
                <w:szCs w:val="24"/>
                <w:lang w:val="en-US" w:eastAsia="zh-CN" w:bidi="ar"/>
              </w:rPr>
              <w:t>，说明其</w:t>
            </w:r>
            <w:r>
              <w:rPr>
                <w:rFonts w:hint="eastAsia" w:ascii="宋体" w:hAnsi="宋体" w:eastAsia="宋体" w:cs="宋体"/>
                <w:color w:val="auto"/>
                <w:kern w:val="2"/>
                <w:sz w:val="24"/>
                <w:szCs w:val="24"/>
                <w:lang w:val="en-US" w:eastAsia="zh-CN" w:bidi="ar"/>
              </w:rPr>
              <w:t>理化性质和危险特性。</w:t>
            </w:r>
          </w:p>
        </w:tc>
        <w:tc>
          <w:tcPr>
            <w:tcW w:w="606" w:type="pct"/>
            <w:shd w:val="clear" w:color="auto" w:fill="auto"/>
            <w:tcMar>
              <w:top w:w="57" w:type="dxa"/>
              <w:left w:w="57" w:type="dxa"/>
              <w:bottom w:w="57" w:type="dxa"/>
              <w:right w:w="57" w:type="dxa"/>
            </w:tcMar>
            <w:vAlign w:val="center"/>
          </w:tcPr>
          <w:p w14:paraId="0097442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p>
        </w:tc>
      </w:tr>
      <w:tr w14:paraId="1CBA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60B34CD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8</w:t>
            </w:r>
          </w:p>
        </w:tc>
        <w:tc>
          <w:tcPr>
            <w:tcW w:w="633" w:type="pct"/>
            <w:vMerge w:val="restart"/>
            <w:shd w:val="clear" w:color="auto" w:fill="auto"/>
            <w:tcMar>
              <w:top w:w="57" w:type="dxa"/>
              <w:left w:w="57" w:type="dxa"/>
              <w:bottom w:w="57" w:type="dxa"/>
              <w:right w:w="57" w:type="dxa"/>
            </w:tcMar>
            <w:vAlign w:val="center"/>
          </w:tcPr>
          <w:p w14:paraId="22F9AE9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工艺流程装置布局</w:t>
            </w:r>
          </w:p>
        </w:tc>
        <w:tc>
          <w:tcPr>
            <w:tcW w:w="3348" w:type="pct"/>
            <w:gridSpan w:val="2"/>
            <w:shd w:val="clear" w:color="auto" w:fill="auto"/>
            <w:tcMar>
              <w:top w:w="57" w:type="dxa"/>
              <w:left w:w="57" w:type="dxa"/>
              <w:bottom w:w="57" w:type="dxa"/>
              <w:right w:w="57" w:type="dxa"/>
            </w:tcMar>
            <w:vAlign w:val="center"/>
          </w:tcPr>
          <w:p w14:paraId="4D979AD3">
            <w:pPr>
              <w:keepNext w:val="0"/>
              <w:keepLines w:val="0"/>
              <w:pageBreakBefore w:val="0"/>
              <w:widowControl w:val="0"/>
              <w:numPr>
                <w:ilvl w:val="0"/>
                <w:numId w:val="3"/>
              </w:numPr>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准确表述每个产品详细的工艺流程说明、主要工艺操作参数，化学方程式（主、副反应），提供工艺流程方框图和物料平衡图或表。主要反应和主要副反应要清晰表述；反应条件、反应物、主要生成物不能有遗漏。</w:t>
            </w:r>
          </w:p>
          <w:p w14:paraId="6C773404">
            <w:pPr>
              <w:pStyle w:val="13"/>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涉及装置共用（线）生产不同产品的，要分别说明各产品的工艺流程。</w:t>
            </w:r>
          </w:p>
        </w:tc>
        <w:tc>
          <w:tcPr>
            <w:tcW w:w="606" w:type="pct"/>
            <w:shd w:val="clear" w:color="auto" w:fill="auto"/>
            <w:tcMar>
              <w:top w:w="57" w:type="dxa"/>
              <w:left w:w="57" w:type="dxa"/>
              <w:bottom w:w="57" w:type="dxa"/>
              <w:right w:w="57" w:type="dxa"/>
            </w:tcMar>
            <w:vAlign w:val="top"/>
          </w:tcPr>
          <w:p w14:paraId="0E920D25">
            <w:pPr>
              <w:pStyle w:val="13"/>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default" w:ascii="Times New Roman" w:hAnsi="Times New Roman" w:eastAsia="宋体" w:cs="Times New Roman"/>
                <w:b/>
                <w:bCs/>
                <w:color w:val="auto"/>
                <w:kern w:val="2"/>
                <w:sz w:val="24"/>
                <w:szCs w:val="24"/>
              </w:rPr>
            </w:pPr>
          </w:p>
        </w:tc>
      </w:tr>
      <w:tr w14:paraId="2CAE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05E8F0A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74F6CDFE">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65AE87C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20</w:t>
            </w:r>
            <w:r>
              <w:rPr>
                <w:rFonts w:hint="eastAsia" w:ascii="宋体" w:hAnsi="宋体" w:eastAsia="宋体" w:cs="宋体"/>
                <w:color w:val="auto"/>
                <w:kern w:val="2"/>
                <w:sz w:val="24"/>
                <w:szCs w:val="24"/>
                <w:lang w:val="en-US" w:eastAsia="zh-CN" w:bidi="ar"/>
              </w:rPr>
              <w:t>）清楚表述主要生产工艺采用的</w:t>
            </w:r>
            <w:r>
              <w:rPr>
                <w:rFonts w:hint="eastAsia" w:ascii="宋体" w:hAnsi="宋体" w:eastAsia="宋体" w:cs="宋体"/>
                <w:b w:val="0"/>
                <w:bCs w:val="0"/>
                <w:color w:val="auto"/>
                <w:kern w:val="2"/>
                <w:sz w:val="24"/>
                <w:szCs w:val="24"/>
                <w:lang w:val="en-US" w:eastAsia="zh-CN" w:bidi="ar"/>
              </w:rPr>
              <w:t>安全</w:t>
            </w:r>
            <w:r>
              <w:rPr>
                <w:rFonts w:hint="eastAsia" w:ascii="宋体" w:hAnsi="宋体" w:eastAsia="宋体" w:cs="宋体"/>
                <w:color w:val="auto"/>
                <w:kern w:val="2"/>
                <w:sz w:val="24"/>
                <w:szCs w:val="24"/>
                <w:lang w:val="en-US" w:eastAsia="zh-CN" w:bidi="ar"/>
              </w:rPr>
              <w:t>控制方式。</w:t>
            </w:r>
          </w:p>
        </w:tc>
        <w:tc>
          <w:tcPr>
            <w:tcW w:w="606" w:type="pct"/>
            <w:shd w:val="clear" w:color="auto" w:fill="auto"/>
            <w:tcMar>
              <w:top w:w="57" w:type="dxa"/>
              <w:left w:w="57" w:type="dxa"/>
              <w:bottom w:w="57" w:type="dxa"/>
              <w:right w:w="57" w:type="dxa"/>
            </w:tcMar>
            <w:vAlign w:val="top"/>
          </w:tcPr>
          <w:p w14:paraId="643EF72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D92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35AD94F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9</w:t>
            </w:r>
          </w:p>
        </w:tc>
        <w:tc>
          <w:tcPr>
            <w:tcW w:w="633" w:type="pct"/>
            <w:shd w:val="clear" w:color="auto" w:fill="auto"/>
            <w:tcMar>
              <w:top w:w="57" w:type="dxa"/>
              <w:left w:w="57" w:type="dxa"/>
              <w:bottom w:w="57" w:type="dxa"/>
              <w:right w:w="57" w:type="dxa"/>
            </w:tcMar>
            <w:vAlign w:val="center"/>
          </w:tcPr>
          <w:p w14:paraId="4F00BCF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设备</w:t>
            </w:r>
          </w:p>
          <w:p w14:paraId="46C7524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设施</w:t>
            </w:r>
          </w:p>
        </w:tc>
        <w:tc>
          <w:tcPr>
            <w:tcW w:w="3348" w:type="pct"/>
            <w:gridSpan w:val="2"/>
            <w:shd w:val="clear" w:color="auto" w:fill="auto"/>
            <w:tcMar>
              <w:top w:w="57" w:type="dxa"/>
              <w:left w:w="57" w:type="dxa"/>
              <w:bottom w:w="57" w:type="dxa"/>
              <w:right w:w="57" w:type="dxa"/>
            </w:tcMar>
            <w:vAlign w:val="center"/>
          </w:tcPr>
          <w:p w14:paraId="2ABBE69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u w:val="single"/>
                <w:em w:val="dot"/>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21</w:t>
            </w:r>
            <w:r>
              <w:rPr>
                <w:rFonts w:hint="eastAsia" w:ascii="宋体" w:hAnsi="宋体" w:eastAsia="宋体" w:cs="宋体"/>
                <w:color w:val="auto"/>
                <w:kern w:val="2"/>
                <w:sz w:val="24"/>
                <w:szCs w:val="24"/>
                <w:lang w:val="en-US" w:eastAsia="zh-CN" w:bidi="ar"/>
              </w:rPr>
              <w:t>）主要设备一览表（动设备、静设备分开）中要素齐全、正确，注明关键设备的名称、规格、型号</w:t>
            </w:r>
            <w:r>
              <w:rPr>
                <w:rFonts w:hint="eastAsia" w:ascii="宋体" w:hAnsi="宋体" w:cs="宋体"/>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数量、操作工况、使用介质、材质等参数；特种设备在备注中明确或单独列表注明，特种设备所属的安全附件类型要明确。</w:t>
            </w:r>
          </w:p>
          <w:p w14:paraId="3C98BF1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利旧化工设备是否经检验合格在设备表中应注明。</w:t>
            </w:r>
          </w:p>
          <w:p w14:paraId="26338F2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一览表要素中不得遗漏重要设备、主要设备。</w:t>
            </w:r>
          </w:p>
        </w:tc>
        <w:tc>
          <w:tcPr>
            <w:tcW w:w="606" w:type="pct"/>
            <w:shd w:val="clear" w:color="auto" w:fill="auto"/>
            <w:tcMar>
              <w:top w:w="57" w:type="dxa"/>
              <w:left w:w="57" w:type="dxa"/>
              <w:bottom w:w="57" w:type="dxa"/>
              <w:right w:w="57" w:type="dxa"/>
            </w:tcMar>
            <w:vAlign w:val="top"/>
          </w:tcPr>
          <w:p w14:paraId="155A3EB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eastAsia" w:ascii="Times New Roman" w:hAnsi="Times New Roman" w:eastAsia="宋体" w:cs="Times New Roman"/>
                <w:b/>
                <w:bCs/>
                <w:color w:val="auto"/>
                <w:kern w:val="2"/>
                <w:sz w:val="24"/>
                <w:szCs w:val="24"/>
              </w:rPr>
            </w:pPr>
          </w:p>
        </w:tc>
      </w:tr>
      <w:tr w14:paraId="6E59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0CA984D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10</w:t>
            </w:r>
          </w:p>
        </w:tc>
        <w:tc>
          <w:tcPr>
            <w:tcW w:w="633" w:type="pct"/>
            <w:shd w:val="clear" w:color="auto" w:fill="auto"/>
            <w:tcMar>
              <w:top w:w="57" w:type="dxa"/>
              <w:left w:w="57" w:type="dxa"/>
              <w:bottom w:w="57" w:type="dxa"/>
              <w:right w:w="57" w:type="dxa"/>
            </w:tcMar>
            <w:vAlign w:val="center"/>
          </w:tcPr>
          <w:p w14:paraId="1EFD531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公用辅助工程设施</w:t>
            </w:r>
          </w:p>
        </w:tc>
        <w:tc>
          <w:tcPr>
            <w:tcW w:w="3348" w:type="pct"/>
            <w:gridSpan w:val="2"/>
            <w:shd w:val="clear" w:color="auto" w:fill="auto"/>
            <w:tcMar>
              <w:top w:w="57" w:type="dxa"/>
              <w:left w:w="57" w:type="dxa"/>
              <w:bottom w:w="57" w:type="dxa"/>
              <w:right w:w="57" w:type="dxa"/>
            </w:tcMar>
            <w:vAlign w:val="center"/>
          </w:tcPr>
          <w:p w14:paraId="23F3B83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22</w:t>
            </w:r>
            <w:r>
              <w:rPr>
                <w:rFonts w:hint="eastAsia" w:ascii="宋体" w:hAnsi="宋体" w:eastAsia="宋体" w:cs="宋体"/>
                <w:color w:val="auto"/>
                <w:kern w:val="2"/>
                <w:sz w:val="24"/>
                <w:szCs w:val="24"/>
                <w:lang w:val="en-US" w:eastAsia="zh-CN" w:bidi="ar"/>
              </w:rPr>
              <w:t>）项目配套的公用和辅助工程设施表述清楚，能力（负荷）、介质或物料来源，项目需求量等量化计算汇总。改扩建项目中利旧</w:t>
            </w:r>
            <w:r>
              <w:rPr>
                <w:rFonts w:hint="eastAsia" w:ascii="宋体" w:hAnsi="宋体" w:eastAsia="宋体" w:cs="宋体"/>
                <w:b/>
                <w:bCs/>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依托应辨识其相容性符合性。</w:t>
            </w:r>
          </w:p>
          <w:p w14:paraId="07B737C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双重电源供电、应急电源的设置应描述清楚。</w:t>
            </w:r>
          </w:p>
        </w:tc>
        <w:tc>
          <w:tcPr>
            <w:tcW w:w="606" w:type="pct"/>
            <w:shd w:val="clear" w:color="auto" w:fill="auto"/>
            <w:tcMar>
              <w:top w:w="57" w:type="dxa"/>
              <w:left w:w="57" w:type="dxa"/>
              <w:bottom w:w="57" w:type="dxa"/>
              <w:right w:w="57" w:type="dxa"/>
            </w:tcMar>
            <w:vAlign w:val="top"/>
          </w:tcPr>
          <w:p w14:paraId="1D8637D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eastAsia" w:ascii="Times New Roman" w:hAnsi="Times New Roman" w:eastAsia="宋体" w:cs="Times New Roman"/>
                <w:b/>
                <w:bCs/>
                <w:color w:val="auto"/>
                <w:kern w:val="2"/>
                <w:sz w:val="24"/>
                <w:szCs w:val="24"/>
              </w:rPr>
            </w:pPr>
          </w:p>
        </w:tc>
      </w:tr>
      <w:tr w14:paraId="2EC4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5000" w:type="pct"/>
            <w:gridSpan w:val="5"/>
            <w:shd w:val="clear" w:color="auto" w:fill="auto"/>
            <w:tcMar>
              <w:top w:w="57" w:type="dxa"/>
              <w:left w:w="57" w:type="dxa"/>
              <w:bottom w:w="57" w:type="dxa"/>
              <w:right w:w="57" w:type="dxa"/>
            </w:tcMar>
            <w:vAlign w:val="center"/>
          </w:tcPr>
          <w:p w14:paraId="1FE2A44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b/>
                <w:bCs w:val="0"/>
                <w:color w:val="auto"/>
                <w:kern w:val="2"/>
                <w:sz w:val="24"/>
                <w:szCs w:val="24"/>
              </w:rPr>
            </w:pPr>
            <w:r>
              <w:rPr>
                <w:rFonts w:hint="eastAsia" w:ascii="宋体" w:hAnsi="宋体" w:eastAsia="宋体" w:cs="宋体"/>
                <w:b/>
                <w:bCs w:val="0"/>
                <w:color w:val="auto"/>
                <w:kern w:val="2"/>
                <w:sz w:val="24"/>
                <w:szCs w:val="24"/>
                <w:lang w:val="en-US" w:eastAsia="zh-CN" w:bidi="ar"/>
              </w:rPr>
              <w:t>三、危险</w:t>
            </w:r>
            <w:r>
              <w:rPr>
                <w:rFonts w:hint="eastAsia" w:ascii="宋体" w:hAnsi="宋体" w:eastAsia="宋体" w:cs="宋体"/>
                <w:b/>
                <w:bCs/>
                <w:color w:val="auto"/>
                <w:kern w:val="2"/>
                <w:sz w:val="24"/>
                <w:szCs w:val="24"/>
                <w:lang w:val="en-US" w:eastAsia="zh-CN" w:bidi="ar"/>
              </w:rPr>
              <w:t>、有害因素</w:t>
            </w:r>
            <w:r>
              <w:rPr>
                <w:rFonts w:hint="eastAsia" w:ascii="宋体" w:hAnsi="宋体" w:eastAsia="宋体" w:cs="宋体"/>
                <w:b/>
                <w:bCs w:val="0"/>
                <w:color w:val="auto"/>
                <w:kern w:val="2"/>
                <w:sz w:val="24"/>
                <w:szCs w:val="24"/>
                <w:lang w:val="en-US" w:eastAsia="zh-CN" w:bidi="ar"/>
              </w:rPr>
              <w:t>辨识与分析</w:t>
            </w:r>
          </w:p>
        </w:tc>
      </w:tr>
      <w:tr w14:paraId="2B26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7757640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Cs/>
                <w:color w:val="auto"/>
                <w:kern w:val="2"/>
                <w:sz w:val="24"/>
                <w:szCs w:val="24"/>
                <w:lang w:val="en-US" w:eastAsia="zh-CN" w:bidi="ar"/>
              </w:rPr>
              <w:t>11</w:t>
            </w:r>
          </w:p>
        </w:tc>
        <w:tc>
          <w:tcPr>
            <w:tcW w:w="633" w:type="pct"/>
            <w:vMerge w:val="restart"/>
            <w:shd w:val="clear" w:color="auto" w:fill="auto"/>
            <w:tcMar>
              <w:top w:w="57" w:type="dxa"/>
              <w:left w:w="57" w:type="dxa"/>
              <w:bottom w:w="57" w:type="dxa"/>
              <w:right w:w="57" w:type="dxa"/>
            </w:tcMar>
            <w:vAlign w:val="center"/>
          </w:tcPr>
          <w:p w14:paraId="6C4E3B1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爆炸性</w:t>
            </w:r>
          </w:p>
          <w:p w14:paraId="5D06EC7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bCs/>
                <w:color w:val="auto"/>
                <w:kern w:val="2"/>
                <w:sz w:val="24"/>
                <w:szCs w:val="24"/>
                <w:lang w:val="en-US" w:eastAsia="zh-CN" w:bidi="ar"/>
              </w:rPr>
              <w:t>分析</w:t>
            </w:r>
          </w:p>
        </w:tc>
        <w:tc>
          <w:tcPr>
            <w:tcW w:w="3348" w:type="pct"/>
            <w:gridSpan w:val="2"/>
            <w:shd w:val="clear" w:color="auto" w:fill="auto"/>
            <w:tcMar>
              <w:top w:w="57" w:type="dxa"/>
              <w:left w:w="57" w:type="dxa"/>
              <w:bottom w:w="57" w:type="dxa"/>
              <w:right w:w="57" w:type="dxa"/>
            </w:tcMar>
            <w:vAlign w:val="center"/>
          </w:tcPr>
          <w:p w14:paraId="5A15FB8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23</w:t>
            </w:r>
            <w:r>
              <w:rPr>
                <w:rFonts w:hint="eastAsia" w:ascii="宋体" w:hAnsi="宋体" w:eastAsia="宋体" w:cs="宋体"/>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em w:val="dot"/>
                <w:lang w:val="en-US" w:eastAsia="zh-CN" w:bidi="ar"/>
              </w:rPr>
              <w:t>*</w:t>
            </w:r>
            <w:r>
              <w:rPr>
                <w:rFonts w:hint="eastAsia" w:ascii="宋体" w:hAnsi="宋体" w:eastAsia="宋体" w:cs="宋体"/>
                <w:b/>
                <w:bCs w:val="0"/>
                <w:color w:val="auto"/>
                <w:kern w:val="2"/>
                <w:sz w:val="24"/>
                <w:szCs w:val="24"/>
                <w:lang w:val="en-US" w:eastAsia="zh-CN" w:bidi="ar"/>
              </w:rPr>
              <w:t>对建设项目是否属于</w:t>
            </w:r>
            <w:r>
              <w:rPr>
                <w:rFonts w:hint="eastAsia" w:ascii="宋体" w:hAnsi="宋体" w:eastAsia="宋体" w:cs="宋体"/>
                <w:b/>
                <w:bCs/>
                <w:color w:val="auto"/>
                <w:kern w:val="2"/>
                <w:sz w:val="24"/>
                <w:szCs w:val="24"/>
                <w:lang w:val="en-US" w:eastAsia="zh-CN" w:bidi="ar"/>
              </w:rPr>
              <w:t>《危险化学品目录》《危险化学品分类信息表》中爆炸物类化学品</w:t>
            </w:r>
            <w:r>
              <w:rPr>
                <w:rFonts w:hint="eastAsia" w:ascii="宋体" w:hAnsi="宋体" w:eastAsia="宋体" w:cs="宋体"/>
                <w:b/>
                <w:bCs w:val="0"/>
                <w:color w:val="auto"/>
                <w:kern w:val="2"/>
                <w:sz w:val="24"/>
                <w:szCs w:val="24"/>
                <w:lang w:val="en-US" w:eastAsia="zh-CN" w:bidi="ar"/>
              </w:rPr>
              <w:t>建设项目进行分析，有明确的结论。</w:t>
            </w:r>
          </w:p>
        </w:tc>
        <w:tc>
          <w:tcPr>
            <w:tcW w:w="606" w:type="pct"/>
            <w:shd w:val="clear" w:color="auto" w:fill="auto"/>
            <w:tcMar>
              <w:top w:w="57" w:type="dxa"/>
              <w:left w:w="57" w:type="dxa"/>
              <w:bottom w:w="57" w:type="dxa"/>
              <w:right w:w="57" w:type="dxa"/>
            </w:tcMar>
            <w:vAlign w:val="center"/>
          </w:tcPr>
          <w:p w14:paraId="71E6E49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val="0"/>
                <w:color w:val="auto"/>
                <w:kern w:val="2"/>
                <w:sz w:val="24"/>
                <w:szCs w:val="24"/>
              </w:rPr>
            </w:pPr>
          </w:p>
        </w:tc>
      </w:tr>
      <w:tr w14:paraId="18DA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5189A37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586FAC3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46C68BF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24</w:t>
            </w:r>
            <w:r>
              <w:rPr>
                <w:rFonts w:hint="eastAsia" w:ascii="宋体" w:hAnsi="宋体" w:eastAsia="宋体" w:cs="宋体"/>
                <w:color w:val="auto"/>
                <w:kern w:val="2"/>
                <w:sz w:val="24"/>
                <w:szCs w:val="24"/>
                <w:lang w:val="en-US" w:eastAsia="zh-CN" w:bidi="ar"/>
              </w:rPr>
              <w:t>）对爆炸性粉尘产生的作业场所进行辨识，对项目是否构成爆炸性粉尘环境进行评价，并有明确的结论。</w:t>
            </w:r>
          </w:p>
        </w:tc>
        <w:tc>
          <w:tcPr>
            <w:tcW w:w="606" w:type="pct"/>
            <w:shd w:val="clear" w:color="auto" w:fill="auto"/>
            <w:tcMar>
              <w:top w:w="57" w:type="dxa"/>
              <w:left w:w="57" w:type="dxa"/>
              <w:bottom w:w="57" w:type="dxa"/>
              <w:right w:w="57" w:type="dxa"/>
            </w:tcMar>
            <w:vAlign w:val="top"/>
          </w:tcPr>
          <w:p w14:paraId="76555BD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513D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74F124F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12</w:t>
            </w:r>
          </w:p>
        </w:tc>
        <w:tc>
          <w:tcPr>
            <w:tcW w:w="633" w:type="pct"/>
            <w:vMerge w:val="restart"/>
            <w:shd w:val="clear" w:color="auto" w:fill="auto"/>
            <w:tcMar>
              <w:top w:w="57" w:type="dxa"/>
              <w:left w:w="57" w:type="dxa"/>
              <w:bottom w:w="57" w:type="dxa"/>
              <w:right w:w="57" w:type="dxa"/>
            </w:tcMar>
            <w:vAlign w:val="center"/>
          </w:tcPr>
          <w:p w14:paraId="1F28DF6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eastAsia"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危险有害因素分析</w:t>
            </w:r>
          </w:p>
        </w:tc>
        <w:tc>
          <w:tcPr>
            <w:tcW w:w="3348" w:type="pct"/>
            <w:gridSpan w:val="2"/>
            <w:shd w:val="clear" w:color="auto" w:fill="auto"/>
            <w:tcMar>
              <w:top w:w="57" w:type="dxa"/>
              <w:left w:w="57" w:type="dxa"/>
              <w:bottom w:w="57" w:type="dxa"/>
              <w:right w:w="57" w:type="dxa"/>
            </w:tcMar>
            <w:vAlign w:val="center"/>
          </w:tcPr>
          <w:p w14:paraId="51BC9DC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25</w:t>
            </w:r>
            <w:r>
              <w:rPr>
                <w:rFonts w:hint="eastAsia" w:ascii="宋体" w:hAnsi="宋体" w:eastAsia="宋体" w:cs="宋体"/>
                <w:color w:val="auto"/>
                <w:kern w:val="2"/>
                <w:sz w:val="24"/>
                <w:szCs w:val="24"/>
                <w:lang w:val="en-US" w:eastAsia="zh-CN" w:bidi="ar"/>
              </w:rPr>
              <w:t>）项目内在的主要危险、有害因素表述正确，辨识全面、正确，做到七不遗漏（重要危险物质、选址及总平面布置、主要设备的危险性、主要工艺过程的危险性、储运过程的危险性、公用工程及辅助设施危险性、项目施工过程危险有害因素）；列表说明项目中涉及的危险有害因素的类别及分布情况。</w:t>
            </w:r>
          </w:p>
        </w:tc>
        <w:tc>
          <w:tcPr>
            <w:tcW w:w="606" w:type="pct"/>
            <w:shd w:val="clear" w:color="auto" w:fill="auto"/>
            <w:tcMar>
              <w:top w:w="57" w:type="dxa"/>
              <w:left w:w="57" w:type="dxa"/>
              <w:bottom w:w="57" w:type="dxa"/>
              <w:right w:w="57" w:type="dxa"/>
            </w:tcMar>
            <w:vAlign w:val="center"/>
          </w:tcPr>
          <w:p w14:paraId="25C32D2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p>
        </w:tc>
      </w:tr>
      <w:tr w14:paraId="2A9B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411" w:type="pct"/>
            <w:vMerge w:val="continue"/>
            <w:shd w:val="clear" w:color="auto" w:fill="auto"/>
            <w:tcMar>
              <w:top w:w="57" w:type="dxa"/>
              <w:left w:w="57" w:type="dxa"/>
              <w:bottom w:w="57" w:type="dxa"/>
              <w:right w:w="57" w:type="dxa"/>
            </w:tcMar>
            <w:vAlign w:val="center"/>
          </w:tcPr>
          <w:p w14:paraId="4F71D82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112B7EC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25A74D3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26</w:t>
            </w:r>
            <w:r>
              <w:rPr>
                <w:rFonts w:hint="eastAsia" w:ascii="宋体" w:hAnsi="宋体" w:eastAsia="宋体" w:cs="宋体"/>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对危险化学品辨识不得遗漏，覆盖到非危险化学品。特别是《危险化学品目录》《危险化学品分类信息表》中的重点监管危险化学品、剧毒化学品、易制毒化学品、爆炸物、易制爆危险化学品、监控化学品、特别管控危险化学品</w:t>
            </w:r>
            <w:r>
              <w:rPr>
                <w:rFonts w:hint="eastAsia" w:ascii="宋体" w:hAnsi="宋体" w:eastAsia="宋体" w:cs="宋体"/>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一二类急性毒性气体等分类列表说明</w:t>
            </w:r>
            <w:r>
              <w:rPr>
                <w:rFonts w:hint="eastAsia" w:ascii="宋体" w:hAnsi="宋体" w:eastAsia="宋体" w:cs="宋体"/>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表中要素应载明物理化学性质、危险特性、主要用途、火灾类别等。</w:t>
            </w:r>
          </w:p>
          <w:p w14:paraId="3918AF6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物理危险性或整体物理危险性尚未明确的化学品应按规定进行物理危险性鉴定。</w:t>
            </w:r>
          </w:p>
        </w:tc>
        <w:tc>
          <w:tcPr>
            <w:tcW w:w="606" w:type="pct"/>
            <w:shd w:val="clear" w:color="auto" w:fill="auto"/>
            <w:tcMar>
              <w:top w:w="57" w:type="dxa"/>
              <w:left w:w="57" w:type="dxa"/>
              <w:bottom w:w="57" w:type="dxa"/>
              <w:right w:w="57" w:type="dxa"/>
            </w:tcMar>
            <w:vAlign w:val="center"/>
          </w:tcPr>
          <w:p w14:paraId="3153BDF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138D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27CA8CD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296E99C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587504A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27</w:t>
            </w:r>
            <w:r>
              <w:rPr>
                <w:rFonts w:hint="eastAsia" w:ascii="宋体" w:hAnsi="宋体" w:eastAsia="宋体" w:cs="宋体"/>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对危险化工工艺尤其是硝化、过氧化等</w:t>
            </w:r>
            <w:r>
              <w:rPr>
                <w:rFonts w:hint="default" w:ascii="Times New Roman" w:hAnsi="Times New Roman" w:eastAsia="宋体" w:cs="Times New Roman"/>
                <w:b/>
                <w:bCs/>
                <w:color w:val="auto"/>
                <w:kern w:val="2"/>
                <w:sz w:val="24"/>
                <w:szCs w:val="24"/>
                <w:lang w:val="en-US" w:eastAsia="zh-CN" w:bidi="ar"/>
              </w:rPr>
              <w:t>5</w:t>
            </w:r>
            <w:r>
              <w:rPr>
                <w:rFonts w:hint="eastAsia" w:ascii="宋体" w:hAnsi="宋体" w:eastAsia="宋体" w:cs="宋体"/>
                <w:b/>
                <w:bCs/>
                <w:color w:val="auto"/>
                <w:kern w:val="2"/>
                <w:sz w:val="24"/>
                <w:szCs w:val="24"/>
                <w:lang w:val="en-US" w:eastAsia="zh-CN" w:bidi="ar"/>
              </w:rPr>
              <w:t>种高危化工工艺、反应工艺危险度</w:t>
            </w:r>
            <w:r>
              <w:rPr>
                <w:rFonts w:hint="default" w:ascii="Times New Roman" w:hAnsi="Times New Roman" w:eastAsia="宋体" w:cs="Times New Roman"/>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级及以上</w:t>
            </w:r>
            <w:r>
              <w:rPr>
                <w:rFonts w:hint="eastAsia" w:ascii="宋体" w:hAnsi="宋体" w:cs="宋体"/>
                <w:b/>
                <w:bCs/>
                <w:color w:val="auto"/>
                <w:kern w:val="2"/>
                <w:sz w:val="24"/>
                <w:szCs w:val="24"/>
                <w:lang w:val="en-US" w:eastAsia="zh-CN" w:bidi="ar"/>
              </w:rPr>
              <w:t>的工艺</w:t>
            </w:r>
            <w:r>
              <w:rPr>
                <w:rFonts w:hint="eastAsia" w:ascii="宋体" w:hAnsi="宋体" w:eastAsia="宋体" w:cs="宋体"/>
                <w:b/>
                <w:bCs/>
                <w:color w:val="auto"/>
                <w:kern w:val="2"/>
                <w:sz w:val="24"/>
                <w:szCs w:val="24"/>
                <w:lang w:val="en-US" w:eastAsia="zh-CN" w:bidi="ar"/>
              </w:rPr>
              <w:t>，高危储存设施进行辨识。涉及装置共用（线）生产不同产品的，应分别辨识各产品的工艺流程。</w:t>
            </w:r>
          </w:p>
          <w:p w14:paraId="4717F3F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val="0"/>
                <w:bCs w:val="0"/>
                <w:color w:val="auto"/>
                <w:kern w:val="2"/>
                <w:sz w:val="24"/>
                <w:szCs w:val="24"/>
                <w:lang w:val="en-US" w:eastAsia="zh-CN" w:bidi="ar"/>
              </w:rPr>
              <w:t>当建设项目采用的化工工艺名称与重点监管的危险化工工艺名称相近，但该工艺过程特性与相关规定明确的工艺危险特点及典型工艺并不相符时，应说明该工艺不属于重点监管的危险化工工艺的理由。</w:t>
            </w:r>
          </w:p>
        </w:tc>
        <w:tc>
          <w:tcPr>
            <w:tcW w:w="606" w:type="pct"/>
            <w:shd w:val="clear" w:color="auto" w:fill="auto"/>
            <w:tcMar>
              <w:top w:w="57" w:type="dxa"/>
              <w:left w:w="57" w:type="dxa"/>
              <w:bottom w:w="57" w:type="dxa"/>
              <w:right w:w="57" w:type="dxa"/>
            </w:tcMar>
            <w:vAlign w:val="center"/>
          </w:tcPr>
          <w:p w14:paraId="39188C4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26F1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78027D7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1CA1731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57F6A26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Cs/>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28</w:t>
            </w:r>
            <w:r>
              <w:rPr>
                <w:rFonts w:hint="eastAsia" w:ascii="宋体" w:hAnsi="宋体" w:eastAsia="宋体" w:cs="宋体"/>
                <w:b w:val="0"/>
                <w:bCs w:val="0"/>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对装置开停车、非计划检维修、操作参数异常、非正常操作或设备设施故障等异常工况存在能量意外释放风险进行分析。</w:t>
            </w:r>
          </w:p>
        </w:tc>
        <w:tc>
          <w:tcPr>
            <w:tcW w:w="606" w:type="pct"/>
            <w:shd w:val="clear" w:color="auto" w:fill="auto"/>
            <w:tcMar>
              <w:top w:w="57" w:type="dxa"/>
              <w:left w:w="57" w:type="dxa"/>
              <w:bottom w:w="57" w:type="dxa"/>
              <w:right w:w="57" w:type="dxa"/>
            </w:tcMar>
            <w:vAlign w:val="center"/>
          </w:tcPr>
          <w:p w14:paraId="66ACA45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2DD4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70E6666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75CC745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589D0C0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Cs/>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29</w:t>
            </w:r>
            <w:r>
              <w:rPr>
                <w:rFonts w:hint="eastAsia" w:ascii="宋体" w:hAnsi="宋体" w:eastAsia="宋体" w:cs="宋体"/>
                <w:color w:val="auto"/>
                <w:kern w:val="2"/>
                <w:sz w:val="24"/>
                <w:szCs w:val="24"/>
                <w:lang w:val="en-US" w:eastAsia="zh-CN" w:bidi="ar"/>
              </w:rPr>
              <w:t>）按《危险化学品重大危险源辨识》《危险化学品重大危险源安全监控技术规范》《危险化学品重大危险源监督管理暂行规定》，对项目的危险化学品重大危险源进行辨识和分级，定性定量计算、分级结果正确。列明重大危险源单元内主要装置、设施及生产（储存）规模，明确提出重大危险源的监控方案。</w:t>
            </w:r>
          </w:p>
        </w:tc>
        <w:tc>
          <w:tcPr>
            <w:tcW w:w="606" w:type="pct"/>
            <w:shd w:val="clear" w:color="auto" w:fill="auto"/>
            <w:tcMar>
              <w:top w:w="57" w:type="dxa"/>
              <w:left w:w="57" w:type="dxa"/>
              <w:bottom w:w="57" w:type="dxa"/>
              <w:right w:w="57" w:type="dxa"/>
            </w:tcMar>
            <w:vAlign w:val="center"/>
          </w:tcPr>
          <w:p w14:paraId="64F0C38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p>
        </w:tc>
      </w:tr>
      <w:tr w14:paraId="1F8D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369AD92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13</w:t>
            </w:r>
          </w:p>
        </w:tc>
        <w:tc>
          <w:tcPr>
            <w:tcW w:w="633" w:type="pct"/>
            <w:shd w:val="clear" w:color="auto" w:fill="auto"/>
            <w:tcMar>
              <w:top w:w="57" w:type="dxa"/>
              <w:left w:w="57" w:type="dxa"/>
              <w:bottom w:w="57" w:type="dxa"/>
              <w:right w:w="57" w:type="dxa"/>
            </w:tcMar>
            <w:vAlign w:val="center"/>
          </w:tcPr>
          <w:p w14:paraId="0B7A016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评价</w:t>
            </w:r>
          </w:p>
          <w:p w14:paraId="2051764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单元</w:t>
            </w:r>
          </w:p>
        </w:tc>
        <w:tc>
          <w:tcPr>
            <w:tcW w:w="3348" w:type="pct"/>
            <w:gridSpan w:val="2"/>
            <w:shd w:val="clear" w:color="auto" w:fill="auto"/>
            <w:tcMar>
              <w:top w:w="57" w:type="dxa"/>
              <w:left w:w="57" w:type="dxa"/>
              <w:bottom w:w="57" w:type="dxa"/>
              <w:right w:w="57" w:type="dxa"/>
            </w:tcMar>
            <w:vAlign w:val="center"/>
          </w:tcPr>
          <w:p w14:paraId="0F78C37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30</w:t>
            </w:r>
            <w:r>
              <w:rPr>
                <w:rFonts w:hint="eastAsia" w:ascii="宋体" w:hAnsi="宋体" w:eastAsia="宋体" w:cs="宋体"/>
                <w:color w:val="auto"/>
                <w:kern w:val="2"/>
                <w:sz w:val="24"/>
                <w:szCs w:val="24"/>
                <w:lang w:val="en-US" w:eastAsia="zh-CN" w:bidi="ar"/>
              </w:rPr>
              <w:t>）评价单元划分正确。根据建设项目的实际情况和安全评价的需要进行划分并说明划分理由。</w:t>
            </w:r>
          </w:p>
        </w:tc>
        <w:tc>
          <w:tcPr>
            <w:tcW w:w="606" w:type="pct"/>
            <w:shd w:val="clear" w:color="auto" w:fill="auto"/>
            <w:tcMar>
              <w:top w:w="57" w:type="dxa"/>
              <w:left w:w="57" w:type="dxa"/>
              <w:bottom w:w="57" w:type="dxa"/>
              <w:right w:w="57" w:type="dxa"/>
            </w:tcMar>
            <w:vAlign w:val="top"/>
          </w:tcPr>
          <w:p w14:paraId="4CF8013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60D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5B9C80D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14</w:t>
            </w:r>
          </w:p>
        </w:tc>
        <w:tc>
          <w:tcPr>
            <w:tcW w:w="633" w:type="pct"/>
            <w:vMerge w:val="restart"/>
            <w:shd w:val="clear" w:color="auto" w:fill="auto"/>
            <w:tcMar>
              <w:top w:w="57" w:type="dxa"/>
              <w:left w:w="57" w:type="dxa"/>
              <w:bottom w:w="57" w:type="dxa"/>
              <w:right w:w="57" w:type="dxa"/>
            </w:tcMar>
            <w:vAlign w:val="center"/>
          </w:tcPr>
          <w:p w14:paraId="4CC0DC8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评价</w:t>
            </w:r>
          </w:p>
          <w:p w14:paraId="63A7B62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方法</w:t>
            </w:r>
          </w:p>
        </w:tc>
        <w:tc>
          <w:tcPr>
            <w:tcW w:w="3348" w:type="pct"/>
            <w:gridSpan w:val="2"/>
            <w:shd w:val="clear" w:color="auto" w:fill="auto"/>
            <w:tcMar>
              <w:top w:w="57" w:type="dxa"/>
              <w:left w:w="57" w:type="dxa"/>
              <w:bottom w:w="57" w:type="dxa"/>
              <w:right w:w="57" w:type="dxa"/>
            </w:tcMar>
            <w:vAlign w:val="center"/>
          </w:tcPr>
          <w:p w14:paraId="31D5EA3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31</w:t>
            </w:r>
            <w:r>
              <w:rPr>
                <w:rFonts w:hint="eastAsia" w:ascii="宋体" w:hAnsi="宋体" w:eastAsia="宋体" w:cs="宋体"/>
                <w:color w:val="auto"/>
                <w:kern w:val="2"/>
                <w:sz w:val="24"/>
                <w:szCs w:val="24"/>
                <w:lang w:val="en-US" w:eastAsia="zh-CN" w:bidi="ar"/>
              </w:rPr>
              <w:t>）评价方法选择正确、合理；说明每个单元采用的评价方法的理由。</w:t>
            </w:r>
          </w:p>
        </w:tc>
        <w:tc>
          <w:tcPr>
            <w:tcW w:w="606" w:type="pct"/>
            <w:shd w:val="clear" w:color="auto" w:fill="auto"/>
            <w:tcMar>
              <w:top w:w="57" w:type="dxa"/>
              <w:left w:w="57" w:type="dxa"/>
              <w:bottom w:w="57" w:type="dxa"/>
              <w:right w:w="57" w:type="dxa"/>
            </w:tcMar>
            <w:vAlign w:val="center"/>
          </w:tcPr>
          <w:p w14:paraId="532C516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p>
        </w:tc>
      </w:tr>
      <w:tr w14:paraId="710E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037DFCB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5CE2576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619B931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32</w:t>
            </w:r>
            <w:r>
              <w:rPr>
                <w:rFonts w:hint="eastAsia" w:ascii="宋体" w:hAnsi="宋体" w:eastAsia="宋体" w:cs="宋体"/>
                <w:color w:val="auto"/>
                <w:kern w:val="2"/>
                <w:sz w:val="24"/>
                <w:szCs w:val="24"/>
                <w:lang w:val="en-US" w:eastAsia="zh-CN" w:bidi="ar"/>
              </w:rPr>
              <w:t>）对危险化工工艺、关键重点部位尽量采用定量分析评价方法，确定外部安全防护距离应采用定量分析评价，并有明确的结论。</w:t>
            </w:r>
          </w:p>
        </w:tc>
        <w:tc>
          <w:tcPr>
            <w:tcW w:w="606" w:type="pct"/>
            <w:shd w:val="clear" w:color="auto" w:fill="auto"/>
            <w:tcMar>
              <w:top w:w="57" w:type="dxa"/>
              <w:left w:w="57" w:type="dxa"/>
              <w:bottom w:w="57" w:type="dxa"/>
              <w:right w:w="57" w:type="dxa"/>
            </w:tcMar>
            <w:vAlign w:val="center"/>
          </w:tcPr>
          <w:p w14:paraId="24C1B92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1154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278302A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15</w:t>
            </w:r>
          </w:p>
        </w:tc>
        <w:tc>
          <w:tcPr>
            <w:tcW w:w="633" w:type="pct"/>
            <w:vMerge w:val="restart"/>
            <w:shd w:val="clear" w:color="auto" w:fill="auto"/>
            <w:tcMar>
              <w:top w:w="57" w:type="dxa"/>
              <w:left w:w="57" w:type="dxa"/>
              <w:bottom w:w="57" w:type="dxa"/>
              <w:right w:w="57" w:type="dxa"/>
            </w:tcMar>
            <w:vAlign w:val="center"/>
          </w:tcPr>
          <w:p w14:paraId="637B4CB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固有危险与风险程度</w:t>
            </w:r>
          </w:p>
        </w:tc>
        <w:tc>
          <w:tcPr>
            <w:tcW w:w="3348" w:type="pct"/>
            <w:gridSpan w:val="2"/>
            <w:shd w:val="clear" w:color="auto" w:fill="auto"/>
            <w:tcMar>
              <w:top w:w="57" w:type="dxa"/>
              <w:left w:w="57" w:type="dxa"/>
              <w:bottom w:w="57" w:type="dxa"/>
              <w:right w:w="57" w:type="dxa"/>
            </w:tcMar>
            <w:vAlign w:val="center"/>
          </w:tcPr>
          <w:p w14:paraId="72344C2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33</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对爆炸性、可燃性、毒性、腐蚀性化学品分别对应的摩尔量、热量、浓度及质量等按《危险化学品建设项目安全评价细则（试行）》要求进行计算和分析评价其固有危险程度。</w:t>
            </w:r>
          </w:p>
        </w:tc>
        <w:tc>
          <w:tcPr>
            <w:tcW w:w="606" w:type="pct"/>
            <w:shd w:val="clear" w:color="auto" w:fill="auto"/>
            <w:tcMar>
              <w:top w:w="57" w:type="dxa"/>
              <w:left w:w="57" w:type="dxa"/>
              <w:bottom w:w="57" w:type="dxa"/>
              <w:right w:w="57" w:type="dxa"/>
            </w:tcMar>
            <w:vAlign w:val="center"/>
          </w:tcPr>
          <w:p w14:paraId="6A0D1D7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0B6C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1B11A1D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2DE0D3E4">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081F008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34</w:t>
            </w:r>
            <w:r>
              <w:rPr>
                <w:rFonts w:hint="eastAsia" w:ascii="宋体" w:hAnsi="宋体" w:eastAsia="宋体" w:cs="宋体"/>
                <w:color w:val="auto"/>
                <w:kern w:val="2"/>
                <w:sz w:val="24"/>
                <w:szCs w:val="24"/>
                <w:lang w:val="en-US" w:eastAsia="zh-CN" w:bidi="ar"/>
              </w:rPr>
              <w:t>）风险程度按《危险化学品建设项目安全评价细则</w:t>
            </w:r>
            <w:r>
              <w:rPr>
                <w:rFonts w:hint="eastAsia" w:ascii="宋体" w:hAnsi="宋体" w:eastAsia="宋体" w:cs="宋体"/>
                <w:b w:val="0"/>
                <w:bCs w:val="0"/>
                <w:color w:val="auto"/>
                <w:kern w:val="2"/>
                <w:sz w:val="24"/>
                <w:szCs w:val="24"/>
                <w:lang w:val="en-US" w:eastAsia="zh-CN" w:bidi="ar"/>
              </w:rPr>
              <w:t>（试行）</w:t>
            </w:r>
            <w:r>
              <w:rPr>
                <w:rFonts w:hint="eastAsia" w:ascii="宋体" w:hAnsi="宋体" w:eastAsia="宋体" w:cs="宋体"/>
                <w:color w:val="auto"/>
                <w:kern w:val="2"/>
                <w:sz w:val="24"/>
                <w:szCs w:val="24"/>
                <w:lang w:val="en-US" w:eastAsia="zh-CN" w:bidi="ar"/>
              </w:rPr>
              <w:t>》要求，定性、定量分析和预测各个安全评价单元以下内容。</w:t>
            </w:r>
          </w:p>
          <w:p w14:paraId="297C157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爆炸性、可燃性、毒性、腐蚀性等化学品泄漏可能性，泄漏后具备爆炸和火灾的条件和时间、泄漏后扩散速率及中毒接触最高限值时间，以及火灾、爆炸、中毒事故造成人员伤亡的范围。</w:t>
            </w:r>
          </w:p>
        </w:tc>
        <w:tc>
          <w:tcPr>
            <w:tcW w:w="606" w:type="pct"/>
            <w:shd w:val="clear" w:color="auto" w:fill="auto"/>
            <w:tcMar>
              <w:top w:w="57" w:type="dxa"/>
              <w:left w:w="57" w:type="dxa"/>
              <w:bottom w:w="57" w:type="dxa"/>
              <w:right w:w="57" w:type="dxa"/>
            </w:tcMar>
            <w:vAlign w:val="center"/>
          </w:tcPr>
          <w:p w14:paraId="56BC760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p>
        </w:tc>
      </w:tr>
      <w:tr w14:paraId="426F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5000" w:type="pct"/>
            <w:gridSpan w:val="5"/>
            <w:shd w:val="clear" w:color="auto" w:fill="auto"/>
            <w:tcMar>
              <w:top w:w="57" w:type="dxa"/>
              <w:left w:w="57" w:type="dxa"/>
              <w:bottom w:w="57" w:type="dxa"/>
              <w:right w:w="57" w:type="dxa"/>
            </w:tcMar>
            <w:vAlign w:val="center"/>
          </w:tcPr>
          <w:p w14:paraId="0E59EE5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b/>
                <w:bCs w:val="0"/>
                <w:color w:val="auto"/>
                <w:kern w:val="2"/>
                <w:sz w:val="24"/>
                <w:szCs w:val="24"/>
              </w:rPr>
            </w:pPr>
            <w:r>
              <w:rPr>
                <w:rFonts w:hint="eastAsia" w:ascii="宋体" w:hAnsi="宋体" w:eastAsia="宋体" w:cs="宋体"/>
                <w:b/>
                <w:bCs w:val="0"/>
                <w:color w:val="auto"/>
                <w:kern w:val="2"/>
                <w:sz w:val="24"/>
                <w:szCs w:val="24"/>
                <w:lang w:val="en-US" w:eastAsia="zh-CN" w:bidi="ar"/>
              </w:rPr>
              <w:t>四、安全条件分析</w:t>
            </w:r>
          </w:p>
        </w:tc>
      </w:tr>
      <w:tr w14:paraId="2E9E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60F2FD7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16</w:t>
            </w:r>
          </w:p>
        </w:tc>
        <w:tc>
          <w:tcPr>
            <w:tcW w:w="633" w:type="pct"/>
            <w:shd w:val="clear" w:color="auto" w:fill="auto"/>
            <w:tcMar>
              <w:top w:w="57" w:type="dxa"/>
              <w:left w:w="57" w:type="dxa"/>
              <w:bottom w:w="57" w:type="dxa"/>
              <w:right w:w="57" w:type="dxa"/>
            </w:tcMar>
            <w:vAlign w:val="center"/>
          </w:tcPr>
          <w:p w14:paraId="37D0ACB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产业政策区域规划</w:t>
            </w:r>
          </w:p>
        </w:tc>
        <w:tc>
          <w:tcPr>
            <w:tcW w:w="3348" w:type="pct"/>
            <w:gridSpan w:val="2"/>
            <w:shd w:val="clear" w:color="auto" w:fill="auto"/>
            <w:tcMar>
              <w:top w:w="57" w:type="dxa"/>
              <w:left w:w="57" w:type="dxa"/>
              <w:bottom w:w="57" w:type="dxa"/>
              <w:right w:w="57" w:type="dxa"/>
            </w:tcMar>
            <w:vAlign w:val="center"/>
          </w:tcPr>
          <w:p w14:paraId="6D46438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35</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产业政策与布局规划符合要求，应有明确的分析评价结论。</w:t>
            </w:r>
          </w:p>
        </w:tc>
        <w:tc>
          <w:tcPr>
            <w:tcW w:w="606" w:type="pct"/>
            <w:shd w:val="clear" w:color="auto" w:fill="auto"/>
            <w:tcMar>
              <w:top w:w="57" w:type="dxa"/>
              <w:left w:w="57" w:type="dxa"/>
              <w:bottom w:w="57" w:type="dxa"/>
              <w:right w:w="57" w:type="dxa"/>
            </w:tcMar>
            <w:vAlign w:val="center"/>
          </w:tcPr>
          <w:p w14:paraId="336C8BD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041A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5EA4446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17</w:t>
            </w:r>
          </w:p>
        </w:tc>
        <w:tc>
          <w:tcPr>
            <w:tcW w:w="633" w:type="pct"/>
            <w:vMerge w:val="restart"/>
            <w:shd w:val="clear" w:color="auto" w:fill="auto"/>
            <w:tcMar>
              <w:top w:w="57" w:type="dxa"/>
              <w:left w:w="57" w:type="dxa"/>
              <w:bottom w:w="57" w:type="dxa"/>
              <w:right w:w="57" w:type="dxa"/>
            </w:tcMar>
            <w:vAlign w:val="center"/>
          </w:tcPr>
          <w:p w14:paraId="67CEC0F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项目</w:t>
            </w:r>
          </w:p>
          <w:p w14:paraId="0B65E80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选址</w:t>
            </w:r>
          </w:p>
        </w:tc>
        <w:tc>
          <w:tcPr>
            <w:tcW w:w="3348" w:type="pct"/>
            <w:gridSpan w:val="2"/>
            <w:shd w:val="clear" w:color="auto" w:fill="auto"/>
            <w:tcMar>
              <w:top w:w="57" w:type="dxa"/>
              <w:left w:w="57" w:type="dxa"/>
              <w:bottom w:w="57" w:type="dxa"/>
              <w:right w:w="57" w:type="dxa"/>
            </w:tcMar>
            <w:vAlign w:val="center"/>
          </w:tcPr>
          <w:p w14:paraId="6FB4DFD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36</w:t>
            </w:r>
            <w:r>
              <w:rPr>
                <w:rFonts w:hint="eastAsia" w:ascii="宋体" w:hAnsi="宋体" w:eastAsia="宋体" w:cs="宋体"/>
                <w:b w:val="0"/>
                <w:bCs w:val="0"/>
                <w:color w:val="auto"/>
                <w:kern w:val="2"/>
                <w:sz w:val="24"/>
                <w:szCs w:val="24"/>
                <w:lang w:val="en-US" w:eastAsia="zh-CN" w:bidi="ar"/>
              </w:rPr>
              <w:t>）项目选址符合国家相关标准要求，有明确的分析评价结论。</w:t>
            </w:r>
          </w:p>
        </w:tc>
        <w:tc>
          <w:tcPr>
            <w:tcW w:w="606" w:type="pct"/>
            <w:shd w:val="clear" w:color="auto" w:fill="auto"/>
            <w:tcMar>
              <w:top w:w="57" w:type="dxa"/>
              <w:left w:w="57" w:type="dxa"/>
              <w:bottom w:w="57" w:type="dxa"/>
              <w:right w:w="57" w:type="dxa"/>
            </w:tcMar>
            <w:vAlign w:val="center"/>
          </w:tcPr>
          <w:p w14:paraId="4C3B549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7DCA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0C715B2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78DC511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2310793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37</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新建、扩建项目严禁在长江干支流岸线一公里范围内选址。</w:t>
            </w:r>
          </w:p>
        </w:tc>
        <w:tc>
          <w:tcPr>
            <w:tcW w:w="606" w:type="pct"/>
            <w:shd w:val="clear" w:color="auto" w:fill="auto"/>
            <w:tcMar>
              <w:top w:w="57" w:type="dxa"/>
              <w:left w:w="57" w:type="dxa"/>
              <w:bottom w:w="57" w:type="dxa"/>
              <w:right w:w="57" w:type="dxa"/>
            </w:tcMar>
            <w:vAlign w:val="top"/>
          </w:tcPr>
          <w:p w14:paraId="253589A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5AFF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05" w:hRule="atLeast"/>
          <w:jc w:val="center"/>
        </w:trPr>
        <w:tc>
          <w:tcPr>
            <w:tcW w:w="411" w:type="pct"/>
            <w:vMerge w:val="restart"/>
            <w:shd w:val="clear" w:color="auto" w:fill="auto"/>
            <w:tcMar>
              <w:top w:w="57" w:type="dxa"/>
              <w:left w:w="57" w:type="dxa"/>
              <w:bottom w:w="57" w:type="dxa"/>
              <w:right w:w="57" w:type="dxa"/>
            </w:tcMar>
            <w:vAlign w:val="center"/>
          </w:tcPr>
          <w:p w14:paraId="69C76BB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18</w:t>
            </w:r>
          </w:p>
        </w:tc>
        <w:tc>
          <w:tcPr>
            <w:tcW w:w="633" w:type="pct"/>
            <w:vMerge w:val="restart"/>
            <w:shd w:val="clear" w:color="auto" w:fill="auto"/>
            <w:tcMar>
              <w:top w:w="57" w:type="dxa"/>
              <w:left w:w="57" w:type="dxa"/>
              <w:bottom w:w="57" w:type="dxa"/>
              <w:right w:w="57" w:type="dxa"/>
            </w:tcMar>
            <w:vAlign w:val="center"/>
          </w:tcPr>
          <w:p w14:paraId="2F6D549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周边</w:t>
            </w:r>
          </w:p>
          <w:p w14:paraId="2AD50E5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情况</w:t>
            </w:r>
          </w:p>
        </w:tc>
        <w:tc>
          <w:tcPr>
            <w:tcW w:w="3348" w:type="pct"/>
            <w:gridSpan w:val="2"/>
            <w:shd w:val="clear" w:color="auto" w:fill="auto"/>
            <w:tcMar>
              <w:top w:w="57" w:type="dxa"/>
              <w:left w:w="57" w:type="dxa"/>
              <w:bottom w:w="57" w:type="dxa"/>
              <w:right w:w="57" w:type="dxa"/>
            </w:tcMar>
            <w:vAlign w:val="center"/>
          </w:tcPr>
          <w:p w14:paraId="76E0093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38</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项目周边重要场所、区域、居民分布情况（尤其是火灾、爆炸、中毒事故伤亡范围</w:t>
            </w:r>
            <w:r>
              <w:rPr>
                <w:rFonts w:hint="default" w:ascii="Times New Roman" w:hAnsi="Times New Roman" w:eastAsia="宋体" w:cs="Times New Roman"/>
                <w:b/>
                <w:bCs/>
                <w:color w:val="auto"/>
                <w:kern w:val="2"/>
                <w:sz w:val="24"/>
                <w:szCs w:val="24"/>
                <w:lang w:val="en-US" w:eastAsia="zh-CN" w:bidi="ar"/>
              </w:rPr>
              <w:t>24</w:t>
            </w:r>
            <w:r>
              <w:rPr>
                <w:rFonts w:hint="eastAsia" w:ascii="宋体" w:hAnsi="宋体" w:eastAsia="宋体" w:cs="宋体"/>
                <w:b/>
                <w:bCs/>
                <w:color w:val="auto"/>
                <w:kern w:val="2"/>
                <w:sz w:val="24"/>
                <w:szCs w:val="24"/>
                <w:lang w:val="en-US" w:eastAsia="zh-CN" w:bidi="ar"/>
              </w:rPr>
              <w:t>小时内生产经营和居民情况）与项目的设施分布和连续生产经营活动之间相互影响的分析表述清楚，有明确的分析评价结论。</w:t>
            </w:r>
          </w:p>
        </w:tc>
        <w:tc>
          <w:tcPr>
            <w:tcW w:w="606" w:type="pct"/>
            <w:shd w:val="clear" w:color="auto" w:fill="auto"/>
            <w:tcMar>
              <w:top w:w="57" w:type="dxa"/>
              <w:left w:w="57" w:type="dxa"/>
              <w:bottom w:w="57" w:type="dxa"/>
              <w:right w:w="57" w:type="dxa"/>
            </w:tcMar>
            <w:vAlign w:val="top"/>
          </w:tcPr>
          <w:p w14:paraId="5226D52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7D3C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77571BD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2B93376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549933D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39</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应按照《危险化学品生产装置和储存设施外部安全防护距离确定方法》（</w:t>
            </w:r>
            <w:r>
              <w:rPr>
                <w:rFonts w:hint="default" w:ascii="Times New Roman" w:hAnsi="Times New Roman" w:eastAsia="宋体" w:cs="Times New Roman"/>
                <w:b/>
                <w:bCs/>
                <w:color w:val="auto"/>
                <w:kern w:val="2"/>
                <w:sz w:val="24"/>
                <w:szCs w:val="24"/>
                <w:lang w:val="en-US" w:eastAsia="zh-CN" w:bidi="ar"/>
              </w:rPr>
              <w:t>GB/T 37243</w:t>
            </w:r>
            <w:r>
              <w:rPr>
                <w:rFonts w:hint="eastAsia" w:ascii="宋体" w:hAnsi="宋体" w:eastAsia="宋体" w:cs="宋体"/>
                <w:b/>
                <w:bCs/>
                <w:color w:val="auto"/>
                <w:kern w:val="2"/>
                <w:sz w:val="24"/>
                <w:szCs w:val="24"/>
                <w:lang w:val="en-US" w:eastAsia="zh-CN" w:bidi="ar"/>
              </w:rPr>
              <w:t>）要求，选择适用的方法确定外部安全防护距离。对个人风险、社会风险可接受分析情况，应有明确的评价结论。当定量风险评价法确定的外部安全防护距离不符合要求时，应提出相应的降低风险措施。</w:t>
            </w:r>
          </w:p>
        </w:tc>
        <w:tc>
          <w:tcPr>
            <w:tcW w:w="606" w:type="pct"/>
            <w:shd w:val="clear" w:color="auto" w:fill="auto"/>
            <w:tcMar>
              <w:top w:w="57" w:type="dxa"/>
              <w:left w:w="57" w:type="dxa"/>
              <w:bottom w:w="57" w:type="dxa"/>
              <w:right w:w="57" w:type="dxa"/>
            </w:tcMar>
            <w:vAlign w:val="center"/>
          </w:tcPr>
          <w:p w14:paraId="54B92FC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27BF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11CBBA0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45047DA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6A34931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40</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多米诺效应分析计算危险源火灾、爆炸影响范围，应确定多米诺效应影响半径，给出可能受多米诺效应影响的危险源清单，提出消除、降低、管控安全风险的措施建议。</w:t>
            </w:r>
          </w:p>
        </w:tc>
        <w:tc>
          <w:tcPr>
            <w:tcW w:w="606" w:type="pct"/>
            <w:shd w:val="clear" w:color="auto" w:fill="auto"/>
            <w:tcMar>
              <w:top w:w="57" w:type="dxa"/>
              <w:left w:w="57" w:type="dxa"/>
              <w:bottom w:w="57" w:type="dxa"/>
              <w:right w:w="57" w:type="dxa"/>
            </w:tcMar>
            <w:vAlign w:val="center"/>
          </w:tcPr>
          <w:p w14:paraId="3C364E4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1257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070BF5A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323D234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3A2DD9C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41</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项目与周边场所、设施等外部安全防护距离应符合有关规范标准的要求，并列表说明。外部安全防护距离涉及</w:t>
            </w:r>
            <w:r>
              <w:rPr>
                <w:rFonts w:hint="default" w:ascii="Times New Roman" w:hAnsi="Times New Roman" w:eastAsia="宋体" w:cs="Times New Roman"/>
                <w:b/>
                <w:bCs/>
                <w:color w:val="auto"/>
                <w:kern w:val="2"/>
                <w:sz w:val="24"/>
                <w:szCs w:val="24"/>
                <w:lang w:val="en-US" w:eastAsia="zh-CN" w:bidi="ar"/>
              </w:rPr>
              <w:t>VCE</w:t>
            </w:r>
            <w:r>
              <w:rPr>
                <w:rFonts w:hint="eastAsia" w:ascii="宋体" w:hAnsi="宋体" w:eastAsia="宋体" w:cs="宋体"/>
                <w:b/>
                <w:bCs/>
                <w:color w:val="auto"/>
                <w:kern w:val="2"/>
                <w:sz w:val="24"/>
                <w:szCs w:val="24"/>
                <w:lang w:val="en-US" w:eastAsia="zh-CN" w:bidi="ar"/>
              </w:rPr>
              <w:t>爆炸危险源、高毒气体泄漏源（如：氨、氯气、硫化氢、一氧化碳等）的，需明确介质泄漏源与周边居民区</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安全防护距离</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是否满足防护要求；间距表中数据需明确计算值、现场实测距离等信息。</w:t>
            </w:r>
          </w:p>
          <w:p w14:paraId="73435E2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外部安全防护范围内禁止布置劳动密集性企业及人员密集场所。</w:t>
            </w:r>
          </w:p>
        </w:tc>
        <w:tc>
          <w:tcPr>
            <w:tcW w:w="606" w:type="pct"/>
            <w:shd w:val="clear" w:color="auto" w:fill="auto"/>
            <w:tcMar>
              <w:top w:w="57" w:type="dxa"/>
              <w:left w:w="57" w:type="dxa"/>
              <w:bottom w:w="57" w:type="dxa"/>
              <w:right w:w="57" w:type="dxa"/>
            </w:tcMar>
            <w:vAlign w:val="center"/>
          </w:tcPr>
          <w:p w14:paraId="605D00D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74AF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0737E72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6D31583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52C4805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42</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危险化学品生产装置或者储存数量构成重大危险源的储存设施与《中华人民共和国危险化学品安全法》规定的九类场所、设施、区域的距离应符合有关法律、法规、规章和国家标准或行业标准的规定，有明确的分析评价结论。</w:t>
            </w:r>
          </w:p>
        </w:tc>
        <w:tc>
          <w:tcPr>
            <w:tcW w:w="606" w:type="pct"/>
            <w:shd w:val="clear" w:color="auto" w:fill="auto"/>
            <w:tcMar>
              <w:top w:w="57" w:type="dxa"/>
              <w:left w:w="57" w:type="dxa"/>
              <w:bottom w:w="57" w:type="dxa"/>
              <w:right w:w="57" w:type="dxa"/>
            </w:tcMar>
            <w:vAlign w:val="top"/>
          </w:tcPr>
          <w:p w14:paraId="5197416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27E4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6C4DC3C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19</w:t>
            </w:r>
          </w:p>
        </w:tc>
        <w:tc>
          <w:tcPr>
            <w:tcW w:w="633" w:type="pct"/>
            <w:shd w:val="clear" w:color="auto" w:fill="auto"/>
            <w:tcMar>
              <w:top w:w="57" w:type="dxa"/>
              <w:left w:w="57" w:type="dxa"/>
              <w:bottom w:w="57" w:type="dxa"/>
              <w:right w:w="57" w:type="dxa"/>
            </w:tcMar>
            <w:vAlign w:val="center"/>
          </w:tcPr>
          <w:p w14:paraId="7E38605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自然</w:t>
            </w:r>
          </w:p>
          <w:p w14:paraId="7794D7D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条件</w:t>
            </w:r>
          </w:p>
        </w:tc>
        <w:tc>
          <w:tcPr>
            <w:tcW w:w="3348" w:type="pct"/>
            <w:gridSpan w:val="2"/>
            <w:shd w:val="clear" w:color="auto" w:fill="auto"/>
            <w:tcMar>
              <w:top w:w="57" w:type="dxa"/>
              <w:left w:w="57" w:type="dxa"/>
              <w:bottom w:w="57" w:type="dxa"/>
              <w:right w:w="57" w:type="dxa"/>
            </w:tcMar>
            <w:vAlign w:val="center"/>
          </w:tcPr>
          <w:p w14:paraId="6EEB5B2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43</w:t>
            </w:r>
            <w:r>
              <w:rPr>
                <w:rFonts w:hint="eastAsia" w:ascii="宋体" w:hAnsi="宋体" w:eastAsia="宋体" w:cs="宋体"/>
                <w:color w:val="auto"/>
                <w:kern w:val="2"/>
                <w:sz w:val="24"/>
                <w:szCs w:val="24"/>
                <w:lang w:val="en-US" w:eastAsia="zh-CN" w:bidi="ar"/>
              </w:rPr>
              <w:t>）自然条件如地质、水文、气象、地震等对项目安全生产的影响分析表述全面正确，有明确的分析评价结论。</w:t>
            </w:r>
          </w:p>
        </w:tc>
        <w:tc>
          <w:tcPr>
            <w:tcW w:w="606" w:type="pct"/>
            <w:shd w:val="clear" w:color="auto" w:fill="auto"/>
            <w:tcMar>
              <w:top w:w="57" w:type="dxa"/>
              <w:left w:w="57" w:type="dxa"/>
              <w:bottom w:w="57" w:type="dxa"/>
              <w:right w:w="57" w:type="dxa"/>
            </w:tcMar>
            <w:vAlign w:val="top"/>
          </w:tcPr>
          <w:p w14:paraId="52D6B77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D56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1" w:hRule="atLeast"/>
          <w:jc w:val="center"/>
        </w:trPr>
        <w:tc>
          <w:tcPr>
            <w:tcW w:w="411" w:type="pct"/>
            <w:vMerge w:val="restart"/>
            <w:shd w:val="clear" w:color="auto" w:fill="auto"/>
            <w:tcMar>
              <w:top w:w="57" w:type="dxa"/>
              <w:left w:w="57" w:type="dxa"/>
              <w:bottom w:w="57" w:type="dxa"/>
              <w:right w:w="57" w:type="dxa"/>
            </w:tcMar>
            <w:vAlign w:val="center"/>
          </w:tcPr>
          <w:p w14:paraId="5D6B0AF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20</w:t>
            </w:r>
          </w:p>
        </w:tc>
        <w:tc>
          <w:tcPr>
            <w:tcW w:w="633" w:type="pct"/>
            <w:vMerge w:val="restart"/>
            <w:shd w:val="clear" w:color="auto" w:fill="auto"/>
            <w:tcMar>
              <w:top w:w="57" w:type="dxa"/>
              <w:left w:w="57" w:type="dxa"/>
              <w:bottom w:w="57" w:type="dxa"/>
              <w:right w:w="57" w:type="dxa"/>
            </w:tcMar>
            <w:vAlign w:val="center"/>
          </w:tcPr>
          <w:p w14:paraId="5A943BA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平面</w:t>
            </w:r>
          </w:p>
          <w:p w14:paraId="4DF1D6A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布置</w:t>
            </w:r>
          </w:p>
        </w:tc>
        <w:tc>
          <w:tcPr>
            <w:tcW w:w="3348" w:type="pct"/>
            <w:gridSpan w:val="2"/>
            <w:shd w:val="clear" w:color="auto" w:fill="auto"/>
            <w:tcMar>
              <w:top w:w="57" w:type="dxa"/>
              <w:left w:w="57" w:type="dxa"/>
              <w:bottom w:w="57" w:type="dxa"/>
              <w:right w:w="57" w:type="dxa"/>
            </w:tcMar>
            <w:vAlign w:val="center"/>
          </w:tcPr>
          <w:p w14:paraId="0B89E7B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val="0"/>
                <w:bCs w:val="0"/>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44</w:t>
            </w:r>
            <w:r>
              <w:rPr>
                <w:rFonts w:hint="eastAsia" w:ascii="宋体" w:hAnsi="宋体" w:eastAsia="宋体" w:cs="宋体"/>
                <w:b w:val="0"/>
                <w:bCs w:val="0"/>
                <w:color w:val="auto"/>
                <w:kern w:val="2"/>
                <w:sz w:val="24"/>
                <w:szCs w:val="24"/>
                <w:lang w:val="en-US" w:eastAsia="zh-CN" w:bidi="ar"/>
              </w:rPr>
              <w:t>）项目执行</w:t>
            </w:r>
            <w:r>
              <w:rPr>
                <w:rFonts w:hint="default" w:ascii="Times New Roman" w:hAnsi="Times New Roman" w:eastAsia="宋体" w:cs="Times New Roman"/>
                <w:b w:val="0"/>
                <w:bCs w:val="0"/>
                <w:color w:val="auto"/>
                <w:kern w:val="2"/>
                <w:sz w:val="24"/>
                <w:szCs w:val="24"/>
                <w:lang w:val="en-US" w:eastAsia="zh-CN" w:bidi="ar"/>
              </w:rPr>
              <w:t>“</w:t>
            </w:r>
            <w:r>
              <w:rPr>
                <w:rFonts w:hint="eastAsia" w:ascii="宋体" w:hAnsi="宋体" w:eastAsia="宋体" w:cs="宋体"/>
                <w:b w:val="0"/>
                <w:bCs w:val="0"/>
                <w:color w:val="auto"/>
                <w:kern w:val="2"/>
                <w:sz w:val="24"/>
                <w:szCs w:val="24"/>
                <w:lang w:val="en-US" w:eastAsia="zh-CN" w:bidi="ar"/>
              </w:rPr>
              <w:t>主要防火规范</w:t>
            </w:r>
            <w:r>
              <w:rPr>
                <w:rFonts w:hint="default" w:ascii="Times New Roman" w:hAnsi="Times New Roman" w:eastAsia="宋体" w:cs="Times New Roman"/>
                <w:b w:val="0"/>
                <w:bCs w:val="0"/>
                <w:color w:val="auto"/>
                <w:kern w:val="2"/>
                <w:sz w:val="24"/>
                <w:szCs w:val="24"/>
                <w:lang w:val="en-US" w:eastAsia="zh-CN" w:bidi="ar"/>
              </w:rPr>
              <w:t>”</w:t>
            </w:r>
            <w:r>
              <w:rPr>
                <w:rFonts w:hint="eastAsia" w:ascii="宋体" w:hAnsi="宋体" w:eastAsia="宋体" w:cs="宋体"/>
                <w:b w:val="0"/>
                <w:bCs w:val="0"/>
                <w:color w:val="auto"/>
                <w:kern w:val="2"/>
                <w:sz w:val="24"/>
                <w:szCs w:val="24"/>
                <w:lang w:val="en-US" w:eastAsia="zh-CN" w:bidi="ar"/>
              </w:rPr>
              <w:t>依据明确（精细化工企业采用</w:t>
            </w:r>
            <w:r>
              <w:rPr>
                <w:rFonts w:hint="default" w:ascii="Times New Roman" w:hAnsi="Times New Roman" w:eastAsia="宋体" w:cs="Times New Roman"/>
                <w:b w:val="0"/>
                <w:bCs w:val="0"/>
                <w:color w:val="auto"/>
                <w:kern w:val="2"/>
                <w:sz w:val="24"/>
                <w:szCs w:val="24"/>
                <w:lang w:val="en-US" w:eastAsia="zh-CN" w:bidi="ar"/>
              </w:rPr>
              <w:t>GB50160</w:t>
            </w:r>
            <w:r>
              <w:rPr>
                <w:rFonts w:hint="eastAsia" w:ascii="宋体" w:hAnsi="宋体" w:eastAsia="宋体" w:cs="宋体"/>
                <w:b w:val="0"/>
                <w:bCs w:val="0"/>
                <w:color w:val="auto"/>
                <w:kern w:val="2"/>
                <w:sz w:val="24"/>
                <w:szCs w:val="24"/>
                <w:lang w:val="en-US" w:eastAsia="zh-CN" w:bidi="ar"/>
              </w:rPr>
              <w:t>相关条款及情况要说明）；</w:t>
            </w:r>
          </w:p>
          <w:p w14:paraId="177479B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总平面布置、竖向布置满足《工业企业总平面设计规范》、《化工企业总图运输设计规范》等标准规范；</w:t>
            </w:r>
          </w:p>
          <w:p w14:paraId="0B2B58F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总平面布置功能分区合理，满足分区集中布置要求（如：生产及行政管理设施区、工艺装置区、液体储罐区、仓储区、公用工程辅助设施区、火炬设施区等，具体项目可适当增减）；</w:t>
            </w:r>
          </w:p>
          <w:p w14:paraId="21485A4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可燃液体装卸设施与厂外道路（物流出入口）直接顺畅连接符合规范要求；厂区出入口（货流出入口、人流出入口、安全疏散口等）、厂界围墙、厂内硬隔离设施设置合理。</w:t>
            </w:r>
          </w:p>
        </w:tc>
        <w:tc>
          <w:tcPr>
            <w:tcW w:w="606" w:type="pct"/>
            <w:shd w:val="clear" w:color="auto" w:fill="auto"/>
            <w:tcMar>
              <w:top w:w="57" w:type="dxa"/>
              <w:left w:w="57" w:type="dxa"/>
              <w:bottom w:w="57" w:type="dxa"/>
              <w:right w:w="57" w:type="dxa"/>
            </w:tcMar>
            <w:vAlign w:val="center"/>
          </w:tcPr>
          <w:p w14:paraId="658B9F7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625C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58" w:hRule="atLeast"/>
          <w:jc w:val="center"/>
        </w:trPr>
        <w:tc>
          <w:tcPr>
            <w:tcW w:w="411" w:type="pct"/>
            <w:vMerge w:val="restart"/>
            <w:shd w:val="clear" w:color="auto" w:fill="auto"/>
            <w:tcMar>
              <w:top w:w="57" w:type="dxa"/>
              <w:left w:w="57" w:type="dxa"/>
              <w:bottom w:w="57" w:type="dxa"/>
              <w:right w:w="57" w:type="dxa"/>
            </w:tcMar>
            <w:vAlign w:val="center"/>
          </w:tcPr>
          <w:p w14:paraId="3CE72D1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21</w:t>
            </w:r>
          </w:p>
        </w:tc>
        <w:tc>
          <w:tcPr>
            <w:tcW w:w="633" w:type="pct"/>
            <w:vMerge w:val="restart"/>
            <w:shd w:val="clear" w:color="auto" w:fill="auto"/>
            <w:tcMar>
              <w:top w:w="57" w:type="dxa"/>
              <w:left w:w="57" w:type="dxa"/>
              <w:bottom w:w="57" w:type="dxa"/>
              <w:right w:w="57" w:type="dxa"/>
            </w:tcMar>
            <w:vAlign w:val="center"/>
          </w:tcPr>
          <w:p w14:paraId="5471920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工艺</w:t>
            </w:r>
          </w:p>
          <w:p w14:paraId="40B73DB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技术</w:t>
            </w:r>
          </w:p>
        </w:tc>
        <w:tc>
          <w:tcPr>
            <w:tcW w:w="3348" w:type="pct"/>
            <w:gridSpan w:val="2"/>
            <w:shd w:val="clear" w:color="auto" w:fill="auto"/>
            <w:tcMar>
              <w:top w:w="57" w:type="dxa"/>
              <w:left w:w="57" w:type="dxa"/>
              <w:bottom w:w="57" w:type="dxa"/>
              <w:right w:w="57" w:type="dxa"/>
            </w:tcMar>
            <w:vAlign w:val="center"/>
          </w:tcPr>
          <w:p w14:paraId="73E1183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45</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涉及精细化工反应安全风险的，应按《精细化工反应安全风险评估规范》</w:t>
            </w:r>
            <w:r>
              <w:rPr>
                <w:rFonts w:hint="eastAsia" w:ascii="宋体" w:hAnsi="宋体" w:eastAsia="宋体" w:cs="宋体"/>
                <w:color w:val="auto"/>
                <w:kern w:val="2"/>
                <w:sz w:val="24"/>
                <w:szCs w:val="24"/>
                <w:lang w:val="en-US" w:eastAsia="zh-CN" w:bidi="ar"/>
              </w:rPr>
              <w:t>等</w:t>
            </w:r>
            <w:r>
              <w:rPr>
                <w:rFonts w:hint="eastAsia" w:ascii="宋体" w:hAnsi="宋体" w:eastAsia="宋体" w:cs="宋体"/>
                <w:b/>
                <w:bCs/>
                <w:color w:val="auto"/>
                <w:kern w:val="2"/>
                <w:sz w:val="24"/>
                <w:szCs w:val="24"/>
                <w:lang w:val="en-US" w:eastAsia="zh-CN" w:bidi="ar"/>
              </w:rPr>
              <w:t>要求开展精细化工反应安全风险评估。</w:t>
            </w:r>
          </w:p>
        </w:tc>
        <w:tc>
          <w:tcPr>
            <w:tcW w:w="606" w:type="pct"/>
            <w:shd w:val="clear" w:color="auto" w:fill="auto"/>
            <w:tcMar>
              <w:top w:w="57" w:type="dxa"/>
              <w:left w:w="57" w:type="dxa"/>
              <w:bottom w:w="57" w:type="dxa"/>
              <w:right w:w="57" w:type="dxa"/>
            </w:tcMar>
            <w:vAlign w:val="center"/>
          </w:tcPr>
          <w:p w14:paraId="2F03B18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57F6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6DED131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3139457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717DED8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46</w:t>
            </w:r>
            <w:r>
              <w:rPr>
                <w:rFonts w:hint="eastAsia" w:ascii="宋体" w:hAnsi="宋体" w:eastAsia="宋体" w:cs="宋体"/>
                <w:color w:val="auto"/>
                <w:kern w:val="2"/>
                <w:sz w:val="24"/>
                <w:szCs w:val="24"/>
                <w:lang w:val="en-US" w:eastAsia="zh-CN" w:bidi="ar"/>
              </w:rPr>
              <w:t>）新建涉及危险化工工艺的精细化工生产建设项目，经评估工艺条件满足微通道、管式、环流等连续化技术要求的，应优先采用连续化生产工艺。</w:t>
            </w:r>
          </w:p>
          <w:p w14:paraId="141E43C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涉及硝化、氯化、氟化、重氮化、过氧化危险化工工艺的建设项目应采用全流程自动化控制及机械化生产，反应工艺危险度被确定为</w:t>
            </w:r>
            <w:r>
              <w:rPr>
                <w:rFonts w:hint="default" w:ascii="Times New Roman" w:hAnsi="Times New Roman" w:eastAsia="宋体" w:cs="Times New Roman"/>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级及以上的工艺有效控制措施应满足要求（回流蒸馏反应工艺的作备注说明，以下同）。</w:t>
            </w:r>
          </w:p>
        </w:tc>
        <w:tc>
          <w:tcPr>
            <w:tcW w:w="606" w:type="pct"/>
            <w:shd w:val="clear" w:color="auto" w:fill="auto"/>
            <w:tcMar>
              <w:top w:w="57" w:type="dxa"/>
              <w:left w:w="57" w:type="dxa"/>
              <w:bottom w:w="57" w:type="dxa"/>
              <w:right w:w="57" w:type="dxa"/>
            </w:tcMar>
            <w:vAlign w:val="center"/>
          </w:tcPr>
          <w:p w14:paraId="53A2D0B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0660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695751E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0CF0A65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1D4E197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47</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工艺技术的安全可靠性应满足要求：</w:t>
            </w:r>
          </w:p>
          <w:p w14:paraId="4FDF397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1</w:t>
            </w:r>
            <w:r>
              <w:rPr>
                <w:rFonts w:hint="eastAsia" w:ascii="宋体" w:hAnsi="宋体" w:eastAsia="宋体" w:cs="宋体"/>
                <w:b/>
                <w:bCs/>
                <w:color w:val="auto"/>
                <w:kern w:val="2"/>
                <w:sz w:val="24"/>
                <w:szCs w:val="24"/>
                <w:lang w:val="en-US" w:eastAsia="zh-CN" w:bidi="ar"/>
              </w:rPr>
              <w:t>）有工艺包技术转让的为可靠，有国内工业化生产的单位转让技术合同或工艺包的为可靠；</w:t>
            </w:r>
          </w:p>
          <w:p w14:paraId="71BE776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2</w:t>
            </w:r>
            <w:r>
              <w:rPr>
                <w:rFonts w:hint="eastAsia" w:ascii="宋体" w:hAnsi="宋体" w:eastAsia="宋体" w:cs="宋体"/>
                <w:b/>
                <w:bCs/>
                <w:color w:val="auto"/>
                <w:kern w:val="2"/>
                <w:sz w:val="24"/>
                <w:szCs w:val="24"/>
                <w:lang w:val="en-US" w:eastAsia="zh-CN" w:bidi="ar"/>
              </w:rPr>
              <w:t>）迁建、扩建采用原有相同工艺技术的为可靠；</w:t>
            </w:r>
          </w:p>
          <w:p w14:paraId="5048ECB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）属于国内首次使用的化工工艺，按规定通过安全可靠性论证的为可靠。引进国外成熟生产工艺在国内首次使用的，还应有技术转让方或开发方提供在国外已建装置的生产情况说明。</w:t>
            </w:r>
          </w:p>
          <w:p w14:paraId="1DD24B8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对工艺技术安全可靠性分析应有明确结论。</w:t>
            </w:r>
          </w:p>
        </w:tc>
        <w:tc>
          <w:tcPr>
            <w:tcW w:w="606" w:type="pct"/>
            <w:shd w:val="clear" w:color="auto" w:fill="auto"/>
            <w:tcMar>
              <w:top w:w="57" w:type="dxa"/>
              <w:left w:w="57" w:type="dxa"/>
              <w:bottom w:w="57" w:type="dxa"/>
              <w:right w:w="57" w:type="dxa"/>
            </w:tcMar>
            <w:vAlign w:val="center"/>
          </w:tcPr>
          <w:p w14:paraId="1F93579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5254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4FE5D31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22</w:t>
            </w:r>
          </w:p>
        </w:tc>
        <w:tc>
          <w:tcPr>
            <w:tcW w:w="633" w:type="pct"/>
            <w:shd w:val="clear" w:color="auto" w:fill="auto"/>
            <w:tcMar>
              <w:top w:w="57" w:type="dxa"/>
              <w:left w:w="57" w:type="dxa"/>
              <w:bottom w:w="57" w:type="dxa"/>
              <w:right w:w="57" w:type="dxa"/>
            </w:tcMar>
            <w:vAlign w:val="center"/>
          </w:tcPr>
          <w:p w14:paraId="78A3BB0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装置</w:t>
            </w:r>
          </w:p>
          <w:p w14:paraId="1937175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设备</w:t>
            </w:r>
          </w:p>
        </w:tc>
        <w:tc>
          <w:tcPr>
            <w:tcW w:w="3348" w:type="pct"/>
            <w:gridSpan w:val="2"/>
            <w:shd w:val="clear" w:color="auto" w:fill="auto"/>
            <w:tcMar>
              <w:top w:w="57" w:type="dxa"/>
              <w:left w:w="57" w:type="dxa"/>
              <w:bottom w:w="57" w:type="dxa"/>
              <w:right w:w="57" w:type="dxa"/>
            </w:tcMar>
            <w:vAlign w:val="center"/>
          </w:tcPr>
          <w:p w14:paraId="4228B49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48</w:t>
            </w:r>
            <w:r>
              <w:rPr>
                <w:rFonts w:hint="eastAsia" w:ascii="宋体" w:hAnsi="宋体" w:eastAsia="宋体" w:cs="宋体"/>
                <w:color w:val="auto"/>
                <w:kern w:val="2"/>
                <w:sz w:val="24"/>
                <w:szCs w:val="24"/>
                <w:lang w:val="en-US" w:eastAsia="zh-CN" w:bidi="ar"/>
              </w:rPr>
              <w:t>）项目选择的主要装置、设备或者设施与危险化学品生产或者储存过程的匹配性，有明确的分析评价结论。不匹配的，表述清楚并在后述安全对策措施中提出要求。引进生产设备的，应有与其配套可靠的安全控制技术。</w:t>
            </w:r>
          </w:p>
        </w:tc>
        <w:tc>
          <w:tcPr>
            <w:tcW w:w="606" w:type="pct"/>
            <w:shd w:val="clear" w:color="auto" w:fill="auto"/>
            <w:tcMar>
              <w:top w:w="57" w:type="dxa"/>
              <w:left w:w="57" w:type="dxa"/>
              <w:bottom w:w="57" w:type="dxa"/>
              <w:right w:w="57" w:type="dxa"/>
            </w:tcMar>
            <w:vAlign w:val="center"/>
          </w:tcPr>
          <w:p w14:paraId="15884FC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11BB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0A2D039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23</w:t>
            </w:r>
          </w:p>
        </w:tc>
        <w:tc>
          <w:tcPr>
            <w:tcW w:w="633" w:type="pct"/>
            <w:shd w:val="clear" w:color="auto" w:fill="auto"/>
            <w:tcMar>
              <w:top w:w="57" w:type="dxa"/>
              <w:left w:w="57" w:type="dxa"/>
              <w:bottom w:w="57" w:type="dxa"/>
              <w:right w:w="57" w:type="dxa"/>
            </w:tcMar>
            <w:vAlign w:val="center"/>
          </w:tcPr>
          <w:p w14:paraId="54F2D25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配套</w:t>
            </w:r>
          </w:p>
          <w:p w14:paraId="2AABC8D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辅助</w:t>
            </w:r>
          </w:p>
        </w:tc>
        <w:tc>
          <w:tcPr>
            <w:tcW w:w="3348" w:type="pct"/>
            <w:gridSpan w:val="2"/>
            <w:shd w:val="clear" w:color="auto" w:fill="auto"/>
            <w:tcMar>
              <w:top w:w="57" w:type="dxa"/>
              <w:left w:w="57" w:type="dxa"/>
              <w:bottom w:w="57" w:type="dxa"/>
              <w:right w:w="57" w:type="dxa"/>
            </w:tcMar>
            <w:vAlign w:val="center"/>
          </w:tcPr>
          <w:p w14:paraId="731A64F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49</w:t>
            </w:r>
            <w:r>
              <w:rPr>
                <w:rFonts w:hint="eastAsia" w:ascii="宋体" w:hAnsi="宋体" w:eastAsia="宋体" w:cs="宋体"/>
                <w:color w:val="auto"/>
                <w:kern w:val="2"/>
                <w:sz w:val="24"/>
                <w:szCs w:val="24"/>
                <w:lang w:val="en-US" w:eastAsia="zh-CN" w:bidi="ar"/>
              </w:rPr>
              <w:t>）为危险化学品生产或者储存过程配套的辅助工程</w:t>
            </w:r>
            <w:r>
              <w:rPr>
                <w:rFonts w:hint="eastAsia" w:ascii="宋体" w:hAnsi="宋体" w:eastAsia="宋体" w:cs="宋体"/>
                <w:b w:val="0"/>
                <w:bCs w:val="0"/>
                <w:color w:val="auto"/>
                <w:kern w:val="2"/>
                <w:sz w:val="24"/>
                <w:szCs w:val="24"/>
                <w:lang w:val="en-US" w:eastAsia="zh-CN" w:bidi="ar"/>
              </w:rPr>
              <w:t>应</w:t>
            </w:r>
            <w:r>
              <w:rPr>
                <w:rFonts w:hint="eastAsia" w:ascii="宋体" w:hAnsi="宋体" w:eastAsia="宋体" w:cs="宋体"/>
                <w:color w:val="auto"/>
                <w:kern w:val="2"/>
                <w:sz w:val="24"/>
                <w:szCs w:val="24"/>
                <w:lang w:val="en-US" w:eastAsia="zh-CN" w:bidi="ar"/>
              </w:rPr>
              <w:t>满足安全生产需要，</w:t>
            </w:r>
            <w:r>
              <w:rPr>
                <w:rFonts w:hint="eastAsia" w:ascii="宋体" w:hAnsi="宋体" w:eastAsia="宋体" w:cs="宋体"/>
                <w:b w:val="0"/>
                <w:bCs w:val="0"/>
                <w:color w:val="auto"/>
                <w:kern w:val="2"/>
                <w:sz w:val="24"/>
                <w:szCs w:val="24"/>
                <w:lang w:val="en-US" w:eastAsia="zh-CN" w:bidi="ar"/>
              </w:rPr>
              <w:t>应</w:t>
            </w:r>
            <w:r>
              <w:rPr>
                <w:rFonts w:hint="eastAsia" w:ascii="宋体" w:hAnsi="宋体" w:eastAsia="宋体" w:cs="宋体"/>
                <w:color w:val="auto"/>
                <w:kern w:val="2"/>
                <w:sz w:val="24"/>
                <w:szCs w:val="24"/>
                <w:lang w:val="en-US" w:eastAsia="zh-CN" w:bidi="ar"/>
              </w:rPr>
              <w:t>有明确的分析评价结论。不能满足的，表述清楚并在后述安全对策措施中提出要求。</w:t>
            </w:r>
          </w:p>
        </w:tc>
        <w:tc>
          <w:tcPr>
            <w:tcW w:w="606" w:type="pct"/>
            <w:shd w:val="clear" w:color="auto" w:fill="auto"/>
            <w:tcMar>
              <w:top w:w="57" w:type="dxa"/>
              <w:left w:w="57" w:type="dxa"/>
              <w:bottom w:w="57" w:type="dxa"/>
              <w:right w:w="57" w:type="dxa"/>
            </w:tcMar>
            <w:vAlign w:val="center"/>
          </w:tcPr>
          <w:p w14:paraId="5A28EBA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644A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shd w:val="clear" w:color="auto" w:fill="auto"/>
            <w:tcMar>
              <w:top w:w="57" w:type="dxa"/>
              <w:left w:w="57" w:type="dxa"/>
              <w:bottom w:w="57" w:type="dxa"/>
              <w:right w:w="57" w:type="dxa"/>
            </w:tcMar>
            <w:vAlign w:val="center"/>
          </w:tcPr>
          <w:p w14:paraId="727E11F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24</w:t>
            </w:r>
          </w:p>
        </w:tc>
        <w:tc>
          <w:tcPr>
            <w:tcW w:w="633" w:type="pct"/>
            <w:shd w:val="clear" w:color="auto" w:fill="auto"/>
            <w:tcMar>
              <w:top w:w="57" w:type="dxa"/>
              <w:left w:w="57" w:type="dxa"/>
              <w:bottom w:w="57" w:type="dxa"/>
              <w:right w:w="57" w:type="dxa"/>
            </w:tcMar>
            <w:vAlign w:val="center"/>
          </w:tcPr>
          <w:p w14:paraId="6675D79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依托</w:t>
            </w:r>
          </w:p>
          <w:p w14:paraId="42B3BE4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条件</w:t>
            </w:r>
          </w:p>
        </w:tc>
        <w:tc>
          <w:tcPr>
            <w:tcW w:w="3348" w:type="pct"/>
            <w:gridSpan w:val="2"/>
            <w:shd w:val="clear" w:color="auto" w:fill="auto"/>
            <w:tcMar>
              <w:top w:w="57" w:type="dxa"/>
              <w:left w:w="57" w:type="dxa"/>
              <w:bottom w:w="57" w:type="dxa"/>
              <w:right w:w="57" w:type="dxa"/>
            </w:tcMar>
            <w:vAlign w:val="center"/>
          </w:tcPr>
          <w:p w14:paraId="1A4123C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50</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项目依托现有装置、储存条件、安全与应急系统，利旧设备或旧系统的，应列表明确说明其依托、利旧条件是否安全可靠，改造方案应满足生产运行和安全要求，有明确的分析评价结论。</w:t>
            </w:r>
          </w:p>
        </w:tc>
        <w:tc>
          <w:tcPr>
            <w:tcW w:w="606" w:type="pct"/>
            <w:shd w:val="clear" w:color="auto" w:fill="auto"/>
            <w:tcMar>
              <w:top w:w="57" w:type="dxa"/>
              <w:left w:w="57" w:type="dxa"/>
              <w:bottom w:w="57" w:type="dxa"/>
              <w:right w:w="57" w:type="dxa"/>
            </w:tcMar>
            <w:vAlign w:val="center"/>
          </w:tcPr>
          <w:p w14:paraId="0B95A58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09B8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5000" w:type="pct"/>
            <w:gridSpan w:val="5"/>
            <w:shd w:val="clear" w:color="auto" w:fill="auto"/>
            <w:tcMar>
              <w:top w:w="57" w:type="dxa"/>
              <w:left w:w="57" w:type="dxa"/>
              <w:bottom w:w="57" w:type="dxa"/>
              <w:right w:w="57" w:type="dxa"/>
            </w:tcMar>
            <w:vAlign w:val="center"/>
          </w:tcPr>
          <w:p w14:paraId="03107F7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b/>
                <w:bCs w:val="0"/>
                <w:color w:val="auto"/>
                <w:kern w:val="2"/>
                <w:sz w:val="24"/>
                <w:szCs w:val="24"/>
              </w:rPr>
            </w:pPr>
            <w:r>
              <w:rPr>
                <w:rFonts w:hint="eastAsia" w:ascii="宋体" w:hAnsi="宋体" w:eastAsia="宋体" w:cs="宋体"/>
                <w:b/>
                <w:bCs w:val="0"/>
                <w:color w:val="auto"/>
                <w:kern w:val="2"/>
                <w:sz w:val="24"/>
                <w:szCs w:val="24"/>
                <w:lang w:val="en-US" w:eastAsia="zh-CN" w:bidi="ar"/>
              </w:rPr>
              <w:t>五、安全对策措施和结论</w:t>
            </w:r>
          </w:p>
        </w:tc>
      </w:tr>
      <w:tr w14:paraId="74B9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restart"/>
            <w:shd w:val="clear" w:color="auto" w:fill="auto"/>
            <w:tcMar>
              <w:top w:w="57" w:type="dxa"/>
              <w:left w:w="57" w:type="dxa"/>
              <w:bottom w:w="57" w:type="dxa"/>
              <w:right w:w="57" w:type="dxa"/>
            </w:tcMar>
            <w:vAlign w:val="center"/>
          </w:tcPr>
          <w:p w14:paraId="504C16D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25</w:t>
            </w:r>
          </w:p>
        </w:tc>
        <w:tc>
          <w:tcPr>
            <w:tcW w:w="633" w:type="pct"/>
            <w:vMerge w:val="restart"/>
            <w:shd w:val="clear" w:color="auto" w:fill="auto"/>
            <w:tcMar>
              <w:top w:w="57" w:type="dxa"/>
              <w:left w:w="57" w:type="dxa"/>
              <w:bottom w:w="57" w:type="dxa"/>
              <w:right w:w="57" w:type="dxa"/>
            </w:tcMar>
            <w:vAlign w:val="center"/>
          </w:tcPr>
          <w:p w14:paraId="3E11D97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对策</w:t>
            </w:r>
          </w:p>
          <w:p w14:paraId="46CE404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措施</w:t>
            </w:r>
          </w:p>
          <w:p w14:paraId="181B20F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与建议</w:t>
            </w:r>
          </w:p>
        </w:tc>
        <w:tc>
          <w:tcPr>
            <w:tcW w:w="3348" w:type="pct"/>
            <w:gridSpan w:val="2"/>
            <w:shd w:val="clear" w:color="auto" w:fill="auto"/>
            <w:tcMar>
              <w:top w:w="57" w:type="dxa"/>
              <w:left w:w="57" w:type="dxa"/>
              <w:bottom w:w="57" w:type="dxa"/>
              <w:right w:w="57" w:type="dxa"/>
            </w:tcMar>
            <w:vAlign w:val="center"/>
          </w:tcPr>
          <w:p w14:paraId="0BB98352">
            <w:pPr>
              <w:pStyle w:val="7"/>
              <w:keepNext w:val="0"/>
              <w:keepLines w:val="0"/>
              <w:pageBreakBefore w:val="0"/>
              <w:widowControl/>
              <w:kinsoku/>
              <w:wordWrap/>
              <w:overflowPunct w:val="0"/>
              <w:topLinePunct w:val="0"/>
              <w:autoSpaceDE/>
              <w:autoSpaceDN/>
              <w:bidi w:val="0"/>
              <w:adjustRightInd w:val="0"/>
              <w:snapToGrid w:val="0"/>
              <w:spacing w:line="280" w:lineRule="exact"/>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rPr>
              <w:t>（</w:t>
            </w:r>
            <w:r>
              <w:rPr>
                <w:rFonts w:hint="default" w:ascii="Times New Roman" w:hAnsi="Times New Roman" w:eastAsia="宋体" w:cs="Times New Roman"/>
                <w:color w:val="auto"/>
                <w:kern w:val="2"/>
                <w:sz w:val="24"/>
                <w:szCs w:val="24"/>
              </w:rPr>
              <w:t>51</w:t>
            </w:r>
            <w:r>
              <w:rPr>
                <w:rFonts w:hint="eastAsia" w:ascii="宋体" w:hAnsi="宋体" w:eastAsia="宋体" w:cs="宋体"/>
                <w:color w:val="auto"/>
                <w:kern w:val="2"/>
                <w:sz w:val="24"/>
                <w:szCs w:val="24"/>
              </w:rPr>
              <w:t>）</w:t>
            </w:r>
            <w:r>
              <w:rPr>
                <w:rFonts w:hint="default" w:ascii="Times New Roman" w:hAnsi="Times New Roman" w:eastAsia="宋体" w:cs="Times New Roman"/>
                <w:color w:val="auto"/>
                <w:kern w:val="2"/>
                <w:sz w:val="24"/>
                <w:szCs w:val="24"/>
              </w:rPr>
              <w:t>*</w:t>
            </w:r>
            <w:r>
              <w:rPr>
                <w:rFonts w:hint="eastAsia" w:ascii="宋体" w:hAnsi="宋体" w:eastAsia="宋体" w:cs="宋体"/>
                <w:b/>
                <w:bCs/>
                <w:color w:val="auto"/>
                <w:kern w:val="2"/>
                <w:sz w:val="24"/>
                <w:szCs w:val="24"/>
              </w:rPr>
              <w:t>涉及爆炸性化学品、毒性和腐蚀性化学品、爆炸性气体环境、辐射作业场所的项目，其对策措施应满足防火防爆、防尘防毒、防化学灼伤、防静电、防辐射等方面标准规范的要求</w:t>
            </w:r>
            <w:r>
              <w:rPr>
                <w:rFonts w:hint="eastAsia" w:ascii="宋体" w:hAnsi="宋体" w:eastAsia="宋体" w:cs="宋体"/>
                <w:color w:val="auto"/>
                <w:kern w:val="2"/>
                <w:sz w:val="24"/>
                <w:szCs w:val="24"/>
              </w:rPr>
              <w:t>。</w:t>
            </w:r>
          </w:p>
        </w:tc>
        <w:tc>
          <w:tcPr>
            <w:tcW w:w="606" w:type="pct"/>
            <w:shd w:val="clear" w:color="auto" w:fill="auto"/>
            <w:tcMar>
              <w:top w:w="57" w:type="dxa"/>
              <w:left w:w="57" w:type="dxa"/>
              <w:bottom w:w="57" w:type="dxa"/>
              <w:right w:w="57" w:type="dxa"/>
            </w:tcMar>
            <w:vAlign w:val="top"/>
          </w:tcPr>
          <w:p w14:paraId="6F323FA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val="0"/>
                <w:color w:val="auto"/>
                <w:kern w:val="2"/>
                <w:sz w:val="24"/>
                <w:szCs w:val="24"/>
              </w:rPr>
            </w:pPr>
          </w:p>
        </w:tc>
      </w:tr>
      <w:tr w14:paraId="76369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775FF27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3F278D4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3E181BA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eastAsia" w:ascii="宋体" w:hAnsi="宋体" w:eastAsia="宋体" w:cs="宋体"/>
                <w:b w:val="0"/>
                <w:bCs/>
                <w:color w:val="auto"/>
                <w:kern w:val="2"/>
                <w:sz w:val="24"/>
                <w:szCs w:val="24"/>
                <w:lang w:val="en-US" w:eastAsia="zh-CN" w:bidi="ar"/>
              </w:rPr>
              <w:t>（</w:t>
            </w:r>
            <w:r>
              <w:rPr>
                <w:rFonts w:hint="default" w:ascii="Times New Roman" w:hAnsi="Times New Roman" w:eastAsia="宋体" w:cs="Times New Roman"/>
                <w:b w:val="0"/>
                <w:bCs/>
                <w:color w:val="auto"/>
                <w:kern w:val="2"/>
                <w:sz w:val="24"/>
                <w:szCs w:val="24"/>
                <w:lang w:val="en-US" w:eastAsia="zh-CN" w:bidi="ar"/>
              </w:rPr>
              <w:t>52</w:t>
            </w:r>
            <w:r>
              <w:rPr>
                <w:rFonts w:hint="eastAsia" w:ascii="宋体" w:hAnsi="宋体" w:eastAsia="宋体" w:cs="宋体"/>
                <w:b w:val="0"/>
                <w:bCs/>
                <w:color w:val="auto"/>
                <w:kern w:val="2"/>
                <w:sz w:val="24"/>
                <w:szCs w:val="24"/>
                <w:lang w:val="en-US" w:eastAsia="zh-CN" w:bidi="ar"/>
              </w:rPr>
              <w:t>）涉及可燃性粉尘和其他粉尘作业场所的，其对策措施应满足粉尘防爆的规范要求。</w:t>
            </w:r>
          </w:p>
        </w:tc>
        <w:tc>
          <w:tcPr>
            <w:tcW w:w="606" w:type="pct"/>
            <w:shd w:val="clear" w:color="auto" w:fill="auto"/>
            <w:tcMar>
              <w:top w:w="57" w:type="dxa"/>
              <w:left w:w="57" w:type="dxa"/>
              <w:bottom w:w="57" w:type="dxa"/>
              <w:right w:w="57" w:type="dxa"/>
            </w:tcMar>
            <w:vAlign w:val="top"/>
          </w:tcPr>
          <w:p w14:paraId="42A3C8C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val="0"/>
                <w:color w:val="auto"/>
                <w:kern w:val="2"/>
                <w:sz w:val="24"/>
                <w:szCs w:val="24"/>
              </w:rPr>
            </w:pPr>
          </w:p>
        </w:tc>
      </w:tr>
      <w:tr w14:paraId="0184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3BA666CE">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25F4ACB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47B4013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eastAsia" w:ascii="宋体" w:hAnsi="宋体" w:eastAsia="宋体" w:cs="宋体"/>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53</w:t>
            </w:r>
            <w:r>
              <w:rPr>
                <w:rFonts w:hint="eastAsia" w:ascii="宋体" w:hAnsi="宋体" w:eastAsia="宋体" w:cs="宋体"/>
                <w:b/>
                <w:bCs w:val="0"/>
                <w:color w:val="auto"/>
                <w:kern w:val="2"/>
                <w:sz w:val="24"/>
                <w:szCs w:val="24"/>
                <w:lang w:val="en-US" w:eastAsia="zh-CN" w:bidi="ar"/>
              </w:rPr>
              <w:t>）</w:t>
            </w:r>
            <w:r>
              <w:rPr>
                <w:rFonts w:hint="default" w:ascii="Times New Roman" w:hAnsi="Times New Roman" w:eastAsia="宋体" w:cs="Times New Roman"/>
                <w:b/>
                <w:bCs w:val="0"/>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应</w:t>
            </w:r>
            <w:r>
              <w:rPr>
                <w:rFonts w:hint="eastAsia" w:ascii="宋体" w:hAnsi="宋体" w:eastAsia="宋体" w:cs="宋体"/>
                <w:b/>
                <w:bCs w:val="0"/>
                <w:color w:val="auto"/>
                <w:kern w:val="2"/>
                <w:sz w:val="24"/>
                <w:szCs w:val="24"/>
                <w:lang w:val="en-US" w:eastAsia="zh-CN" w:bidi="ar"/>
              </w:rPr>
              <w:t>与危险有害因素分析结论基本一致，并至少从八个方面给出对策措施与建议：</w:t>
            </w:r>
          </w:p>
          <w:p w14:paraId="1D7EF98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1</w:t>
            </w:r>
            <w:r>
              <w:rPr>
                <w:rFonts w:hint="eastAsia" w:ascii="宋体" w:hAnsi="宋体" w:eastAsia="宋体" w:cs="宋体"/>
                <w:b/>
                <w:bCs w:val="0"/>
                <w:color w:val="auto"/>
                <w:kern w:val="2"/>
                <w:sz w:val="24"/>
                <w:szCs w:val="24"/>
                <w:lang w:val="en-US" w:eastAsia="zh-CN" w:bidi="ar"/>
              </w:rPr>
              <w:t>）建设项目的选址；</w:t>
            </w:r>
          </w:p>
          <w:p w14:paraId="2D1658D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2</w:t>
            </w:r>
            <w:r>
              <w:rPr>
                <w:rFonts w:hint="eastAsia" w:ascii="宋体" w:hAnsi="宋体" w:eastAsia="宋体" w:cs="宋体"/>
                <w:b/>
                <w:bCs w:val="0"/>
                <w:color w:val="auto"/>
                <w:kern w:val="2"/>
                <w:sz w:val="24"/>
                <w:szCs w:val="24"/>
                <w:lang w:val="en-US" w:eastAsia="zh-CN" w:bidi="ar"/>
              </w:rPr>
              <w:t>）拟选择的主要技术、工艺（方式）和装置、设备、设施；</w:t>
            </w:r>
          </w:p>
          <w:p w14:paraId="7086789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3</w:t>
            </w:r>
            <w:r>
              <w:rPr>
                <w:rFonts w:hint="eastAsia" w:ascii="宋体" w:hAnsi="宋体" w:eastAsia="宋体" w:cs="宋体"/>
                <w:b/>
                <w:bCs w:val="0"/>
                <w:color w:val="auto"/>
                <w:kern w:val="2"/>
                <w:sz w:val="24"/>
                <w:szCs w:val="24"/>
                <w:lang w:val="en-US" w:eastAsia="zh-CN" w:bidi="ar"/>
              </w:rPr>
              <w:t>）拟为危险化学品生产或者储存过程配套和辅助工程，</w:t>
            </w:r>
            <w:r>
              <w:rPr>
                <w:rFonts w:hint="eastAsia" w:ascii="宋体" w:hAnsi="宋体" w:eastAsia="宋体" w:cs="宋体"/>
                <w:b/>
                <w:bCs/>
                <w:color w:val="auto"/>
                <w:kern w:val="2"/>
                <w:sz w:val="24"/>
                <w:szCs w:val="24"/>
                <w:lang w:val="en-US" w:eastAsia="zh-CN" w:bidi="ar"/>
              </w:rPr>
              <w:t>涉及精细化工的还应建立化学品相容性矩阵</w:t>
            </w:r>
            <w:r>
              <w:rPr>
                <w:rFonts w:hint="eastAsia" w:ascii="宋体" w:hAnsi="宋体" w:eastAsia="宋体" w:cs="宋体"/>
                <w:b/>
                <w:bCs w:val="0"/>
                <w:color w:val="auto"/>
                <w:kern w:val="2"/>
                <w:sz w:val="24"/>
                <w:szCs w:val="24"/>
                <w:lang w:val="en-US" w:eastAsia="zh-CN" w:bidi="ar"/>
              </w:rPr>
              <w:t>；</w:t>
            </w:r>
          </w:p>
          <w:p w14:paraId="45FE6DA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4</w:t>
            </w:r>
            <w:r>
              <w:rPr>
                <w:rFonts w:hint="eastAsia" w:ascii="宋体" w:hAnsi="宋体" w:eastAsia="宋体" w:cs="宋体"/>
                <w:b/>
                <w:bCs w:val="0"/>
                <w:color w:val="auto"/>
                <w:kern w:val="2"/>
                <w:sz w:val="24"/>
                <w:szCs w:val="24"/>
                <w:lang w:val="en-US" w:eastAsia="zh-CN" w:bidi="ar"/>
              </w:rPr>
              <w:t>）建设项目主要装置、设备、设施的布局；</w:t>
            </w:r>
          </w:p>
          <w:p w14:paraId="5CA0346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5</w:t>
            </w:r>
            <w:r>
              <w:rPr>
                <w:rFonts w:hint="eastAsia" w:ascii="宋体" w:hAnsi="宋体" w:eastAsia="宋体" w:cs="宋体"/>
                <w:b/>
                <w:bCs w:val="0"/>
                <w:color w:val="auto"/>
                <w:kern w:val="2"/>
                <w:sz w:val="24"/>
                <w:szCs w:val="24"/>
                <w:lang w:val="en-US" w:eastAsia="zh-CN" w:bidi="ar"/>
              </w:rPr>
              <w:t>）事故应急救援措施和器材、设备；</w:t>
            </w:r>
          </w:p>
          <w:p w14:paraId="5C27A1A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6</w:t>
            </w:r>
            <w:r>
              <w:rPr>
                <w:rFonts w:hint="eastAsia" w:ascii="宋体" w:hAnsi="宋体" w:eastAsia="宋体" w:cs="宋体"/>
                <w:b/>
                <w:bCs w:val="0"/>
                <w:color w:val="auto"/>
                <w:kern w:val="2"/>
                <w:sz w:val="24"/>
                <w:szCs w:val="24"/>
                <w:lang w:val="en-US" w:eastAsia="zh-CN" w:bidi="ar"/>
              </w:rPr>
              <w:t>）从业人员的条件和要求；</w:t>
            </w:r>
          </w:p>
          <w:p w14:paraId="55944E9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7</w:t>
            </w:r>
            <w:r>
              <w:rPr>
                <w:rFonts w:hint="eastAsia" w:ascii="宋体" w:hAnsi="宋体" w:eastAsia="宋体" w:cs="宋体"/>
                <w:b/>
                <w:bCs w:val="0"/>
                <w:color w:val="auto"/>
                <w:kern w:val="2"/>
                <w:sz w:val="24"/>
                <w:szCs w:val="24"/>
                <w:lang w:val="en-US" w:eastAsia="zh-CN" w:bidi="ar"/>
              </w:rPr>
              <w:t>）对剧毒化学品和重点监管的危险化学品专项安全技术措施和对策措施；</w:t>
            </w:r>
          </w:p>
          <w:p w14:paraId="685D088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val="0"/>
                <w:color w:val="auto"/>
                <w:kern w:val="2"/>
                <w:sz w:val="24"/>
                <w:szCs w:val="24"/>
              </w:rPr>
            </w:pPr>
            <w:r>
              <w:rPr>
                <w:rFonts w:hint="default" w:ascii="Times New Roman" w:hAnsi="Times New Roman" w:eastAsia="宋体" w:cs="Times New Roman"/>
                <w:b/>
                <w:bCs w:val="0"/>
                <w:color w:val="auto"/>
                <w:kern w:val="2"/>
                <w:sz w:val="24"/>
                <w:szCs w:val="24"/>
                <w:lang w:val="en-US" w:eastAsia="zh-CN" w:bidi="ar"/>
              </w:rPr>
              <w:t>8</w:t>
            </w:r>
            <w:r>
              <w:rPr>
                <w:rFonts w:hint="eastAsia" w:ascii="宋体" w:hAnsi="宋体" w:eastAsia="宋体" w:cs="宋体"/>
                <w:b/>
                <w:bCs w:val="0"/>
                <w:color w:val="auto"/>
                <w:kern w:val="2"/>
                <w:sz w:val="24"/>
                <w:szCs w:val="24"/>
                <w:lang w:val="en-US" w:eastAsia="zh-CN" w:bidi="ar"/>
              </w:rPr>
              <w:t>）异常工况下的安全对策措施。</w:t>
            </w:r>
          </w:p>
        </w:tc>
        <w:tc>
          <w:tcPr>
            <w:tcW w:w="606" w:type="pct"/>
            <w:shd w:val="clear" w:color="auto" w:fill="auto"/>
            <w:tcMar>
              <w:top w:w="57" w:type="dxa"/>
              <w:left w:w="57" w:type="dxa"/>
              <w:bottom w:w="57" w:type="dxa"/>
              <w:right w:w="57" w:type="dxa"/>
            </w:tcMar>
            <w:vAlign w:val="top"/>
          </w:tcPr>
          <w:p w14:paraId="21F5920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val="0"/>
                <w:color w:val="auto"/>
                <w:kern w:val="2"/>
                <w:sz w:val="24"/>
                <w:szCs w:val="24"/>
              </w:rPr>
            </w:pPr>
          </w:p>
        </w:tc>
      </w:tr>
      <w:tr w14:paraId="43E0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1AAF5190">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7C2EAB0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06A3E5C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54</w:t>
            </w:r>
            <w:r>
              <w:rPr>
                <w:rFonts w:hint="eastAsia" w:ascii="宋体" w:hAnsi="宋体" w:eastAsia="宋体" w:cs="宋体"/>
                <w:color w:val="auto"/>
                <w:kern w:val="2"/>
                <w:sz w:val="24"/>
                <w:szCs w:val="24"/>
                <w:lang w:val="en-US" w:eastAsia="zh-CN" w:bidi="ar"/>
              </w:rPr>
              <w:t>）对策措施应全面正确，有针对性、可行性和可操作性，对项目必须配备的安全设施提出明确要求。</w:t>
            </w:r>
          </w:p>
          <w:p w14:paraId="44A05F5A">
            <w:pPr>
              <w:keepNext w:val="0"/>
              <w:keepLines w:val="0"/>
              <w:pageBreakBefore w:val="0"/>
              <w:widowControl w:val="0"/>
              <w:suppressLineNumbers w:val="0"/>
              <w:kinsoku/>
              <w:wordWrap/>
              <w:topLinePunct w:val="0"/>
              <w:autoSpaceDE/>
              <w:autoSpaceDN/>
              <w:bidi w:val="0"/>
              <w:spacing w:before="0" w:beforeAutospacing="0" w:after="0" w:afterAutospacing="0" w:line="280" w:lineRule="exact"/>
              <w:ind w:left="0" w:right="0"/>
              <w:jc w:val="both"/>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应对工艺控制提出明确要求、应根据危险分析结果提出相应对策措施</w:t>
            </w:r>
            <w:r>
              <w:rPr>
                <w:rFonts w:hint="eastAsia" w:ascii="宋体" w:hAnsi="宋体" w:eastAsia="宋体" w:cs="宋体"/>
                <w:color w:val="auto"/>
                <w:kern w:val="2"/>
                <w:sz w:val="24"/>
                <w:szCs w:val="24"/>
                <w:lang w:val="en-US" w:eastAsia="zh-CN" w:bidi="ar"/>
              </w:rPr>
              <w:t>。</w:t>
            </w:r>
          </w:p>
        </w:tc>
        <w:tc>
          <w:tcPr>
            <w:tcW w:w="606" w:type="pct"/>
            <w:shd w:val="clear" w:color="auto" w:fill="auto"/>
            <w:tcMar>
              <w:top w:w="57" w:type="dxa"/>
              <w:left w:w="57" w:type="dxa"/>
              <w:bottom w:w="57" w:type="dxa"/>
              <w:right w:w="57" w:type="dxa"/>
            </w:tcMar>
            <w:vAlign w:val="top"/>
          </w:tcPr>
          <w:p w14:paraId="60992A2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36A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4220E16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38BFD7F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0C201FF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55</w:t>
            </w:r>
            <w:r>
              <w:rPr>
                <w:rFonts w:hint="eastAsia" w:ascii="宋体" w:hAnsi="宋体" w:eastAsia="宋体" w:cs="宋体"/>
                <w:color w:val="auto"/>
                <w:kern w:val="2"/>
                <w:sz w:val="24"/>
                <w:szCs w:val="24"/>
                <w:lang w:val="en-US" w:eastAsia="zh-CN" w:bidi="ar"/>
              </w:rPr>
              <w:t>）总平面布置不符合规范标准的，选择的主要装置、设备或者设施与危险化学品生产或者储存过程不匹配的，配套的辅助工程不满足安全生产的需要的，</w:t>
            </w:r>
            <w:r>
              <w:rPr>
                <w:rFonts w:hint="eastAsia" w:ascii="宋体" w:hAnsi="宋体" w:eastAsia="宋体" w:cs="宋体"/>
                <w:b/>
                <w:bCs/>
                <w:color w:val="auto"/>
                <w:kern w:val="2"/>
                <w:sz w:val="24"/>
                <w:szCs w:val="24"/>
                <w:lang w:val="en-US" w:eastAsia="zh-CN" w:bidi="ar"/>
              </w:rPr>
              <w:t>应</w:t>
            </w:r>
            <w:r>
              <w:rPr>
                <w:rFonts w:hint="eastAsia" w:ascii="宋体" w:hAnsi="宋体" w:eastAsia="宋体" w:cs="宋体"/>
                <w:color w:val="auto"/>
                <w:kern w:val="2"/>
                <w:sz w:val="24"/>
                <w:szCs w:val="24"/>
                <w:lang w:val="en-US" w:eastAsia="zh-CN" w:bidi="ar"/>
              </w:rPr>
              <w:t>在安全对策措施中提出明确要求。</w:t>
            </w:r>
          </w:p>
        </w:tc>
        <w:tc>
          <w:tcPr>
            <w:tcW w:w="606" w:type="pct"/>
            <w:shd w:val="clear" w:color="auto" w:fill="auto"/>
            <w:tcMar>
              <w:top w:w="57" w:type="dxa"/>
              <w:left w:w="57" w:type="dxa"/>
              <w:bottom w:w="57" w:type="dxa"/>
              <w:right w:w="57" w:type="dxa"/>
            </w:tcMar>
            <w:vAlign w:val="top"/>
          </w:tcPr>
          <w:p w14:paraId="7BFA9B9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0C1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72" w:hRule="atLeast"/>
          <w:jc w:val="center"/>
        </w:trPr>
        <w:tc>
          <w:tcPr>
            <w:tcW w:w="411" w:type="pct"/>
            <w:vMerge w:val="continue"/>
            <w:shd w:val="clear" w:color="auto" w:fill="auto"/>
            <w:tcMar>
              <w:top w:w="57" w:type="dxa"/>
              <w:left w:w="57" w:type="dxa"/>
              <w:bottom w:w="57" w:type="dxa"/>
              <w:right w:w="57" w:type="dxa"/>
            </w:tcMar>
            <w:vAlign w:val="center"/>
          </w:tcPr>
          <w:p w14:paraId="0C6FEB9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034975C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266894D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56</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危险化工工艺、重点监管危险化学品、大型连续化生产装置、高危储存设施，对重要工艺参数控制提出自控、安全联锁、紧急切断、紧急停车等方面的安全措施。构成重大危险源的，按《危险化学品重大危险源监督管理暂行规定》要求提出监控措施；剧毒化学品要按国家规定专门章节提出对策措施。</w:t>
            </w:r>
          </w:p>
          <w:p w14:paraId="373F661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当采用重点监管危险化工艺规定的安全设施措施不适用该项目时，应说明不适用的理由并提出其他有效的安全设施措施。</w:t>
            </w:r>
          </w:p>
        </w:tc>
        <w:tc>
          <w:tcPr>
            <w:tcW w:w="606" w:type="pct"/>
            <w:shd w:val="clear" w:color="auto" w:fill="auto"/>
            <w:tcMar>
              <w:top w:w="57" w:type="dxa"/>
              <w:left w:w="57" w:type="dxa"/>
              <w:bottom w:w="57" w:type="dxa"/>
              <w:right w:w="57" w:type="dxa"/>
            </w:tcMar>
            <w:vAlign w:val="top"/>
          </w:tcPr>
          <w:p w14:paraId="7B8C64F3">
            <w:pPr>
              <w:pStyle w:val="13"/>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default" w:ascii="Times New Roman" w:hAnsi="Times New Roman" w:eastAsia="宋体" w:cs="Times New Roman"/>
                <w:color w:val="auto"/>
                <w:kern w:val="2"/>
                <w:sz w:val="24"/>
                <w:szCs w:val="24"/>
              </w:rPr>
            </w:pPr>
          </w:p>
        </w:tc>
      </w:tr>
      <w:tr w14:paraId="70C3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70" w:hRule="atLeast"/>
          <w:jc w:val="center"/>
        </w:trPr>
        <w:tc>
          <w:tcPr>
            <w:tcW w:w="411" w:type="pct"/>
            <w:vMerge w:val="restart"/>
            <w:shd w:val="clear" w:color="auto" w:fill="auto"/>
            <w:tcMar>
              <w:top w:w="57" w:type="dxa"/>
              <w:left w:w="57" w:type="dxa"/>
              <w:bottom w:w="57" w:type="dxa"/>
              <w:right w:w="57" w:type="dxa"/>
            </w:tcMar>
            <w:vAlign w:val="center"/>
          </w:tcPr>
          <w:p w14:paraId="56BA26B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26</w:t>
            </w:r>
          </w:p>
        </w:tc>
        <w:tc>
          <w:tcPr>
            <w:tcW w:w="633" w:type="pct"/>
            <w:vMerge w:val="restart"/>
            <w:shd w:val="clear" w:color="auto" w:fill="auto"/>
            <w:tcMar>
              <w:top w:w="57" w:type="dxa"/>
              <w:left w:w="57" w:type="dxa"/>
              <w:bottom w:w="57" w:type="dxa"/>
              <w:right w:w="57" w:type="dxa"/>
            </w:tcMar>
            <w:vAlign w:val="center"/>
          </w:tcPr>
          <w:p w14:paraId="2E325BA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评价</w:t>
            </w:r>
          </w:p>
          <w:p w14:paraId="451D42C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结论</w:t>
            </w:r>
          </w:p>
        </w:tc>
        <w:tc>
          <w:tcPr>
            <w:tcW w:w="3348" w:type="pct"/>
            <w:gridSpan w:val="2"/>
            <w:shd w:val="clear" w:color="auto" w:fill="auto"/>
            <w:tcMar>
              <w:top w:w="57" w:type="dxa"/>
              <w:left w:w="57" w:type="dxa"/>
              <w:bottom w:w="57" w:type="dxa"/>
              <w:right w:w="57" w:type="dxa"/>
            </w:tcMar>
            <w:vAlign w:val="center"/>
          </w:tcPr>
          <w:p w14:paraId="1A0B08D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57</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1</w:t>
            </w:r>
            <w:r>
              <w:rPr>
                <w:rFonts w:hint="eastAsia" w:ascii="宋体" w:hAnsi="宋体" w:eastAsia="宋体" w:cs="宋体"/>
                <w:b/>
                <w:bCs/>
                <w:color w:val="auto"/>
                <w:kern w:val="2"/>
                <w:sz w:val="24"/>
                <w:szCs w:val="24"/>
                <w:lang w:val="en-US" w:eastAsia="zh-CN" w:bidi="ar"/>
              </w:rPr>
              <w:t>）简述各评价单元评价结果；明确项目中涉及的危险化学品（含重点监管危险化学品、剧毒化学品、</w:t>
            </w:r>
          </w:p>
          <w:p w14:paraId="609EF2E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易制毒化学品、易制爆化学品、特别管控危险化学品）；</w:t>
            </w:r>
          </w:p>
          <w:p w14:paraId="7D2D851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2</w:t>
            </w:r>
            <w:r>
              <w:rPr>
                <w:rFonts w:hint="eastAsia" w:ascii="宋体" w:hAnsi="宋体" w:eastAsia="宋体" w:cs="宋体"/>
                <w:b/>
                <w:bCs/>
                <w:color w:val="auto"/>
                <w:kern w:val="2"/>
                <w:sz w:val="24"/>
                <w:szCs w:val="24"/>
                <w:lang w:val="en-US" w:eastAsia="zh-CN" w:bidi="ar"/>
              </w:rPr>
              <w:t>）明确哪些产品（含中间产品）须取得安全生产</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使用</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经营许可证；</w:t>
            </w:r>
          </w:p>
          <w:p w14:paraId="1FA74F3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）对项目选址、危险工艺与高危储存设施等级、重大危险源等方面，有明确的结论；</w:t>
            </w:r>
          </w:p>
          <w:p w14:paraId="38CE498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4</w:t>
            </w:r>
            <w:r>
              <w:rPr>
                <w:rFonts w:hint="eastAsia" w:ascii="宋体" w:hAnsi="宋体" w:eastAsia="宋体" w:cs="宋体"/>
                <w:b/>
                <w:bCs/>
                <w:color w:val="auto"/>
                <w:kern w:val="2"/>
                <w:sz w:val="24"/>
                <w:szCs w:val="24"/>
                <w:lang w:val="en-US" w:eastAsia="zh-CN" w:bidi="ar"/>
              </w:rPr>
              <w:t>）对具有爆炸危险性的建设项目，防火间距应满足规定要求；</w:t>
            </w:r>
          </w:p>
          <w:p w14:paraId="7B95668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5</w:t>
            </w:r>
            <w:r>
              <w:rPr>
                <w:rFonts w:hint="eastAsia" w:ascii="宋体" w:hAnsi="宋体" w:eastAsia="宋体" w:cs="宋体"/>
                <w:b/>
                <w:bCs/>
                <w:color w:val="auto"/>
                <w:kern w:val="2"/>
                <w:sz w:val="24"/>
                <w:szCs w:val="24"/>
                <w:lang w:val="en-US" w:eastAsia="zh-CN" w:bidi="ar"/>
              </w:rPr>
              <w:t>）涉及爆炸性粉尘的作业场所，粉尘防爆措施要能确保安全生产，有明确的结论；</w:t>
            </w:r>
          </w:p>
          <w:p w14:paraId="6E875BD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6</w:t>
            </w:r>
            <w:r>
              <w:rPr>
                <w:rFonts w:hint="eastAsia" w:ascii="宋体" w:hAnsi="宋体" w:eastAsia="宋体" w:cs="宋体"/>
                <w:b/>
                <w:bCs/>
                <w:color w:val="auto"/>
                <w:kern w:val="2"/>
                <w:sz w:val="24"/>
                <w:szCs w:val="24"/>
                <w:lang w:val="en-US" w:eastAsia="zh-CN" w:bidi="ar"/>
              </w:rPr>
              <w:t>）外部设施与厂内设施防火间距满足规范要求；</w:t>
            </w:r>
          </w:p>
          <w:p w14:paraId="5AB7698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7</w:t>
            </w:r>
            <w:r>
              <w:rPr>
                <w:rFonts w:hint="eastAsia" w:ascii="宋体" w:hAnsi="宋体" w:eastAsia="宋体" w:cs="宋体"/>
                <w:b/>
                <w:bCs/>
                <w:color w:val="auto"/>
                <w:kern w:val="2"/>
                <w:sz w:val="24"/>
                <w:szCs w:val="24"/>
                <w:lang w:val="en-US" w:eastAsia="zh-CN" w:bidi="ar"/>
              </w:rPr>
              <w:t>）内部设施之间防火间距满足规范要求；</w:t>
            </w:r>
          </w:p>
          <w:p w14:paraId="7D605BA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color w:val="auto"/>
                <w:kern w:val="2"/>
                <w:sz w:val="24"/>
                <w:szCs w:val="24"/>
                <w:lang w:val="en-US" w:eastAsia="zh-CN" w:bidi="ar"/>
              </w:rPr>
              <w:t>8</w:t>
            </w:r>
            <w:r>
              <w:rPr>
                <w:rFonts w:hint="eastAsia" w:ascii="宋体" w:hAnsi="宋体" w:eastAsia="宋体" w:cs="宋体"/>
                <w:b/>
                <w:bCs/>
                <w:color w:val="auto"/>
                <w:kern w:val="2"/>
                <w:sz w:val="24"/>
                <w:szCs w:val="24"/>
                <w:lang w:val="en-US" w:eastAsia="zh-CN" w:bidi="ar"/>
              </w:rPr>
              <w:t>）对项目是否符合安全生产法律法规、标准，其风险程度是否可以接受作出明确的总体评价结论。</w:t>
            </w:r>
          </w:p>
        </w:tc>
        <w:tc>
          <w:tcPr>
            <w:tcW w:w="606" w:type="pct"/>
            <w:shd w:val="clear" w:color="auto" w:fill="auto"/>
            <w:tcMar>
              <w:top w:w="57" w:type="dxa"/>
              <w:left w:w="57" w:type="dxa"/>
              <w:bottom w:w="57" w:type="dxa"/>
              <w:right w:w="57" w:type="dxa"/>
            </w:tcMar>
            <w:vAlign w:val="top"/>
          </w:tcPr>
          <w:p w14:paraId="523B427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6902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411" w:type="pct"/>
            <w:vMerge w:val="continue"/>
            <w:shd w:val="clear" w:color="auto" w:fill="auto"/>
            <w:tcMar>
              <w:top w:w="57" w:type="dxa"/>
              <w:left w:w="57" w:type="dxa"/>
              <w:bottom w:w="57" w:type="dxa"/>
              <w:right w:w="57" w:type="dxa"/>
            </w:tcMar>
            <w:vAlign w:val="center"/>
          </w:tcPr>
          <w:p w14:paraId="3497119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633" w:type="pct"/>
            <w:vMerge w:val="continue"/>
            <w:shd w:val="clear" w:color="auto" w:fill="auto"/>
            <w:tcMar>
              <w:top w:w="57" w:type="dxa"/>
              <w:left w:w="57" w:type="dxa"/>
              <w:bottom w:w="57" w:type="dxa"/>
              <w:right w:w="57" w:type="dxa"/>
            </w:tcMar>
            <w:vAlign w:val="center"/>
          </w:tcPr>
          <w:p w14:paraId="3F82046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348" w:type="pct"/>
            <w:gridSpan w:val="2"/>
            <w:shd w:val="clear" w:color="auto" w:fill="auto"/>
            <w:tcMar>
              <w:top w:w="57" w:type="dxa"/>
              <w:left w:w="57" w:type="dxa"/>
              <w:bottom w:w="57" w:type="dxa"/>
              <w:right w:w="57" w:type="dxa"/>
            </w:tcMar>
            <w:vAlign w:val="center"/>
          </w:tcPr>
          <w:p w14:paraId="6A90D9E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58</w:t>
            </w:r>
            <w:r>
              <w:rPr>
                <w:rFonts w:hint="eastAsia" w:ascii="宋体" w:hAnsi="宋体" w:eastAsia="宋体" w:cs="宋体"/>
                <w:color w:val="auto"/>
                <w:kern w:val="2"/>
                <w:sz w:val="24"/>
                <w:szCs w:val="24"/>
                <w:lang w:val="en-US" w:eastAsia="zh-CN" w:bidi="ar"/>
              </w:rPr>
              <w:t>）报告中</w:t>
            </w:r>
            <w:r>
              <w:rPr>
                <w:rFonts w:hint="eastAsia" w:ascii="宋体" w:hAnsi="宋体" w:eastAsia="宋体" w:cs="宋体"/>
                <w:b/>
                <w:bCs/>
                <w:color w:val="auto"/>
                <w:kern w:val="2"/>
                <w:sz w:val="24"/>
                <w:szCs w:val="24"/>
                <w:lang w:val="en-US" w:eastAsia="zh-CN" w:bidi="ar"/>
              </w:rPr>
              <w:t>应</w:t>
            </w:r>
            <w:r>
              <w:rPr>
                <w:rFonts w:hint="eastAsia" w:ascii="宋体" w:hAnsi="宋体" w:eastAsia="宋体" w:cs="宋体"/>
                <w:color w:val="auto"/>
                <w:kern w:val="2"/>
                <w:sz w:val="24"/>
                <w:szCs w:val="24"/>
                <w:lang w:val="en-US" w:eastAsia="zh-CN" w:bidi="ar"/>
              </w:rPr>
              <w:t>附评价机构与建设单位双方签订的交换意见表。达不成一致意见的，应予以充分说明。</w:t>
            </w:r>
          </w:p>
        </w:tc>
        <w:tc>
          <w:tcPr>
            <w:tcW w:w="606" w:type="pct"/>
            <w:shd w:val="clear" w:color="auto" w:fill="auto"/>
            <w:tcMar>
              <w:top w:w="57" w:type="dxa"/>
              <w:left w:w="57" w:type="dxa"/>
              <w:bottom w:w="57" w:type="dxa"/>
              <w:right w:w="57" w:type="dxa"/>
            </w:tcMar>
            <w:vAlign w:val="top"/>
          </w:tcPr>
          <w:p w14:paraId="5CFE4B6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910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5000" w:type="pct"/>
            <w:gridSpan w:val="5"/>
            <w:shd w:val="clear" w:color="auto" w:fill="auto"/>
            <w:tcMar>
              <w:top w:w="57" w:type="dxa"/>
              <w:left w:w="57" w:type="dxa"/>
              <w:bottom w:w="57" w:type="dxa"/>
              <w:right w:w="57" w:type="dxa"/>
            </w:tcMar>
            <w:vAlign w:val="center"/>
          </w:tcPr>
          <w:p w14:paraId="7525161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b/>
                <w:bCs w:val="0"/>
                <w:color w:val="auto"/>
                <w:kern w:val="2"/>
                <w:sz w:val="24"/>
                <w:szCs w:val="24"/>
              </w:rPr>
            </w:pPr>
            <w:r>
              <w:rPr>
                <w:rFonts w:hint="eastAsia" w:ascii="宋体" w:hAnsi="宋体" w:eastAsia="宋体" w:cs="宋体"/>
                <w:b/>
                <w:bCs w:val="0"/>
                <w:color w:val="auto"/>
                <w:kern w:val="2"/>
                <w:sz w:val="24"/>
                <w:szCs w:val="24"/>
                <w:lang w:val="en-US" w:eastAsia="zh-CN" w:bidi="ar"/>
              </w:rPr>
              <w:t>六、附件</w:t>
            </w:r>
            <w:r>
              <w:rPr>
                <w:rFonts w:hint="eastAsia" w:ascii="宋体" w:hAnsi="宋体" w:eastAsia="宋体" w:cs="宋体"/>
                <w:color w:val="auto"/>
                <w:kern w:val="2"/>
                <w:sz w:val="24"/>
                <w:szCs w:val="24"/>
                <w:lang w:val="en-US" w:eastAsia="zh-CN" w:bidi="ar"/>
              </w:rPr>
              <w:t>附图</w:t>
            </w:r>
          </w:p>
        </w:tc>
      </w:tr>
      <w:tr w14:paraId="7004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7970" w:hRule="atLeast"/>
          <w:jc w:val="center"/>
        </w:trPr>
        <w:tc>
          <w:tcPr>
            <w:tcW w:w="411" w:type="pct"/>
            <w:shd w:val="clear" w:color="auto" w:fill="auto"/>
            <w:tcMar>
              <w:top w:w="57" w:type="dxa"/>
              <w:left w:w="57" w:type="dxa"/>
              <w:bottom w:w="57" w:type="dxa"/>
              <w:right w:w="57" w:type="dxa"/>
            </w:tcMar>
            <w:vAlign w:val="center"/>
          </w:tcPr>
          <w:p w14:paraId="5E02B22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27</w:t>
            </w:r>
          </w:p>
        </w:tc>
        <w:tc>
          <w:tcPr>
            <w:tcW w:w="633" w:type="pct"/>
            <w:shd w:val="clear" w:color="auto" w:fill="auto"/>
            <w:tcMar>
              <w:top w:w="57" w:type="dxa"/>
              <w:left w:w="57" w:type="dxa"/>
              <w:bottom w:w="57" w:type="dxa"/>
              <w:right w:w="57" w:type="dxa"/>
            </w:tcMar>
            <w:vAlign w:val="center"/>
          </w:tcPr>
          <w:p w14:paraId="7007963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附件</w:t>
            </w:r>
          </w:p>
          <w:p w14:paraId="3404A26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附图</w:t>
            </w:r>
          </w:p>
        </w:tc>
        <w:tc>
          <w:tcPr>
            <w:tcW w:w="3348" w:type="pct"/>
            <w:gridSpan w:val="2"/>
            <w:shd w:val="clear" w:color="auto" w:fill="auto"/>
            <w:tcMar>
              <w:top w:w="57" w:type="dxa"/>
              <w:left w:w="57" w:type="dxa"/>
              <w:bottom w:w="57" w:type="dxa"/>
              <w:right w:w="57" w:type="dxa"/>
            </w:tcMar>
            <w:vAlign w:val="center"/>
          </w:tcPr>
          <w:p w14:paraId="6C3AC14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59</w:t>
            </w:r>
            <w:r>
              <w:rPr>
                <w:rFonts w:hint="eastAsia" w:ascii="宋体" w:hAnsi="宋体" w:eastAsia="宋体" w:cs="宋体"/>
                <w:color w:val="auto"/>
                <w:kern w:val="2"/>
                <w:sz w:val="24"/>
                <w:szCs w:val="24"/>
                <w:lang w:val="en-US" w:eastAsia="zh-CN" w:bidi="ar"/>
              </w:rPr>
              <w:t>）报告附件</w:t>
            </w:r>
            <w:r>
              <w:rPr>
                <w:rFonts w:hint="eastAsia" w:ascii="宋体" w:hAnsi="宋体" w:eastAsia="宋体" w:cs="宋体"/>
                <w:b w:val="0"/>
                <w:bCs w:val="0"/>
                <w:color w:val="auto"/>
                <w:kern w:val="2"/>
                <w:sz w:val="24"/>
                <w:szCs w:val="24"/>
                <w:lang w:val="en-US" w:eastAsia="zh-CN" w:bidi="ar"/>
              </w:rPr>
              <w:t>应</w:t>
            </w:r>
            <w:r>
              <w:rPr>
                <w:rFonts w:hint="eastAsia" w:ascii="宋体" w:hAnsi="宋体" w:eastAsia="宋体" w:cs="宋体"/>
                <w:color w:val="auto"/>
                <w:kern w:val="2"/>
                <w:sz w:val="24"/>
                <w:szCs w:val="24"/>
                <w:lang w:val="en-US" w:eastAsia="zh-CN" w:bidi="ar"/>
              </w:rPr>
              <w:t>符合</w:t>
            </w:r>
            <w:r>
              <w:rPr>
                <w:rFonts w:hint="eastAsia" w:ascii="宋体" w:hAnsi="宋体" w:cs="宋体"/>
                <w:color w:val="auto"/>
                <w:kern w:val="2"/>
                <w:sz w:val="24"/>
                <w:szCs w:val="24"/>
                <w:lang w:val="en-US" w:eastAsia="zh-CN" w:bidi="ar"/>
              </w:rPr>
              <w:t>《危险化学品建设项目安全评价细则（试行）》</w:t>
            </w:r>
            <w:r>
              <w:rPr>
                <w:rFonts w:hint="eastAsia" w:ascii="宋体" w:hAnsi="宋体" w:eastAsia="宋体" w:cs="宋体"/>
                <w:color w:val="auto"/>
                <w:kern w:val="2"/>
                <w:sz w:val="24"/>
                <w:szCs w:val="24"/>
                <w:lang w:val="en-US" w:eastAsia="zh-CN" w:bidi="ar"/>
              </w:rPr>
              <w:t>相关要求。包括以下内容：</w:t>
            </w:r>
          </w:p>
          <w:p w14:paraId="04284C0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）地方政府或投资主管部门审批（核准、备案）文件或同意开展项目前期工作的文件；</w:t>
            </w:r>
          </w:p>
          <w:p w14:paraId="6097750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）选定的安全评价方法简介；</w:t>
            </w:r>
          </w:p>
          <w:p w14:paraId="75606B4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）定性、定量分析危险、有害程度的过程；</w:t>
            </w:r>
          </w:p>
          <w:p w14:paraId="0EC12D4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）安全评价依据的国家现行有效的有关法律、法规、规章标准、规范及收集的文件资料目录；</w:t>
            </w:r>
          </w:p>
          <w:p w14:paraId="4B19683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5</w:t>
            </w:r>
            <w:r>
              <w:rPr>
                <w:rFonts w:hint="eastAsia" w:ascii="宋体" w:hAnsi="宋体" w:eastAsia="宋体" w:cs="宋体"/>
                <w:color w:val="auto"/>
                <w:kern w:val="2"/>
                <w:sz w:val="24"/>
                <w:szCs w:val="24"/>
                <w:lang w:val="en-US" w:eastAsia="zh-CN" w:bidi="ar"/>
              </w:rPr>
              <w:t>）建设（规划）部门出具的相关文件复印件（现有危险化学品生产、储存企业在原厂址建设且不新增建设用地的建设项目可不提供）；</w:t>
            </w:r>
          </w:p>
          <w:p w14:paraId="7CD0E28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6</w:t>
            </w:r>
            <w:r>
              <w:rPr>
                <w:rFonts w:hint="eastAsia" w:ascii="宋体" w:hAnsi="宋体" w:eastAsia="宋体" w:cs="宋体"/>
                <w:color w:val="auto"/>
                <w:kern w:val="2"/>
                <w:sz w:val="24"/>
                <w:szCs w:val="24"/>
                <w:lang w:val="en-US" w:eastAsia="zh-CN" w:bidi="ar"/>
              </w:rPr>
              <w:t>）工艺来源的证明材料；</w:t>
            </w:r>
          </w:p>
          <w:p w14:paraId="3A02D55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7</w:t>
            </w:r>
            <w:r>
              <w:rPr>
                <w:rFonts w:hint="eastAsia" w:ascii="宋体" w:hAnsi="宋体" w:eastAsia="宋体" w:cs="宋体"/>
                <w:color w:val="auto"/>
                <w:kern w:val="2"/>
                <w:sz w:val="24"/>
                <w:szCs w:val="24"/>
                <w:lang w:val="en-US" w:eastAsia="zh-CN" w:bidi="ar"/>
              </w:rPr>
              <w:t>）用地红线图（</w:t>
            </w:r>
            <w:r>
              <w:rPr>
                <w:rFonts w:hint="default" w:ascii="Times New Roman" w:hAnsi="Times New Roman" w:eastAsia="宋体" w:cs="Times New Roman"/>
                <w:color w:val="auto"/>
                <w:kern w:val="2"/>
                <w:sz w:val="24"/>
                <w:szCs w:val="24"/>
                <w:lang w:val="en-US" w:eastAsia="zh-CN" w:bidi="ar"/>
              </w:rPr>
              <w:t>PDF</w:t>
            </w:r>
            <w:r>
              <w:rPr>
                <w:rFonts w:hint="eastAsia" w:ascii="宋体" w:hAnsi="宋体" w:eastAsia="宋体" w:cs="宋体"/>
                <w:color w:val="auto"/>
                <w:kern w:val="2"/>
                <w:sz w:val="24"/>
                <w:szCs w:val="24"/>
                <w:lang w:val="en-US" w:eastAsia="zh-CN" w:bidi="ar"/>
              </w:rPr>
              <w:t>格式）：应经当地规划部门批准，含红线拐点坐标数据。</w:t>
            </w:r>
          </w:p>
          <w:p w14:paraId="2FA25B0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8</w:t>
            </w:r>
            <w:r>
              <w:rPr>
                <w:rFonts w:hint="eastAsia" w:ascii="宋体" w:hAnsi="宋体" w:eastAsia="宋体" w:cs="宋体"/>
                <w:color w:val="auto"/>
                <w:kern w:val="2"/>
                <w:sz w:val="24"/>
                <w:szCs w:val="24"/>
                <w:lang w:val="en-US" w:eastAsia="zh-CN" w:bidi="ar"/>
              </w:rPr>
              <w:t>）选址位置图（选址在化工园区内的）（</w:t>
            </w:r>
            <w:r>
              <w:rPr>
                <w:rFonts w:hint="default" w:ascii="Times New Roman" w:hAnsi="Times New Roman" w:eastAsia="宋体" w:cs="Times New Roman"/>
                <w:color w:val="auto"/>
                <w:kern w:val="2"/>
                <w:sz w:val="24"/>
                <w:szCs w:val="24"/>
                <w:lang w:val="en-US" w:eastAsia="zh-CN" w:bidi="ar"/>
              </w:rPr>
              <w:t>PDF</w:t>
            </w:r>
            <w:r>
              <w:rPr>
                <w:rFonts w:hint="eastAsia" w:ascii="宋体" w:hAnsi="宋体" w:eastAsia="宋体" w:cs="宋体"/>
                <w:color w:val="auto"/>
                <w:kern w:val="2"/>
                <w:sz w:val="24"/>
                <w:szCs w:val="24"/>
                <w:lang w:val="en-US" w:eastAsia="zh-CN" w:bidi="ar"/>
              </w:rPr>
              <w:t>格式）：本项目选址、园区四至线、园区消防站、园区变电站、园区污水处理厂、园区公共管廊、园区道路等设施具体方位。</w:t>
            </w:r>
          </w:p>
          <w:p w14:paraId="1A469A7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9</w:t>
            </w:r>
            <w:r>
              <w:rPr>
                <w:rFonts w:hint="eastAsia" w:ascii="宋体" w:hAnsi="宋体" w:eastAsia="宋体" w:cs="宋体"/>
                <w:color w:val="auto"/>
                <w:kern w:val="2"/>
                <w:sz w:val="24"/>
                <w:szCs w:val="24"/>
                <w:lang w:val="en-US" w:eastAsia="zh-CN" w:bidi="ar"/>
              </w:rPr>
              <w:t>）区域位置图（</w:t>
            </w:r>
            <w:r>
              <w:rPr>
                <w:rFonts w:hint="default" w:ascii="Times New Roman" w:hAnsi="Times New Roman" w:eastAsia="宋体" w:cs="Times New Roman"/>
                <w:color w:val="auto"/>
                <w:kern w:val="2"/>
                <w:sz w:val="24"/>
                <w:szCs w:val="24"/>
                <w:lang w:val="en-US" w:eastAsia="zh-CN" w:bidi="ar"/>
              </w:rPr>
              <w:t>PDF</w:t>
            </w:r>
            <w:r>
              <w:rPr>
                <w:rFonts w:hint="eastAsia" w:ascii="宋体" w:hAnsi="宋体" w:eastAsia="宋体" w:cs="宋体"/>
                <w:color w:val="auto"/>
                <w:kern w:val="2"/>
                <w:sz w:val="24"/>
                <w:szCs w:val="24"/>
                <w:lang w:val="en-US" w:eastAsia="zh-CN" w:bidi="ar"/>
              </w:rPr>
              <w:t>格式）：详细标注与周边环境的实际安全间距；注明企业用地红线外规范规定防火间距范围内相邻企业（设施、场所）重要信息，包括：企业名称、企业执行主规范、企业用地红线、邻近设施名称、火灾危险类别；厂区红线外部输电线路电压等级和杆高数据、园区道路边线位置、园区铁路线等信息；</w:t>
            </w:r>
          </w:p>
          <w:p w14:paraId="50E2B8D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10</w:t>
            </w:r>
            <w:r>
              <w:rPr>
                <w:rFonts w:hint="eastAsia" w:ascii="宋体" w:hAnsi="宋体" w:eastAsia="宋体" w:cs="宋体"/>
                <w:color w:val="auto"/>
                <w:kern w:val="2"/>
                <w:sz w:val="24"/>
                <w:szCs w:val="24"/>
                <w:lang w:val="en-US" w:eastAsia="zh-CN" w:bidi="ar"/>
              </w:rPr>
              <w:t>）总平面布置图（</w:t>
            </w:r>
            <w:r>
              <w:rPr>
                <w:rFonts w:hint="default" w:ascii="Times New Roman" w:hAnsi="Times New Roman" w:eastAsia="宋体" w:cs="Times New Roman"/>
                <w:color w:val="auto"/>
                <w:kern w:val="2"/>
                <w:sz w:val="24"/>
                <w:szCs w:val="24"/>
                <w:lang w:val="en-US" w:eastAsia="zh-CN" w:bidi="ar"/>
              </w:rPr>
              <w:t>PDF</w:t>
            </w:r>
            <w:r>
              <w:rPr>
                <w:rFonts w:hint="eastAsia" w:ascii="宋体" w:hAnsi="宋体" w:eastAsia="宋体" w:cs="宋体"/>
                <w:color w:val="auto"/>
                <w:kern w:val="2"/>
                <w:sz w:val="24"/>
                <w:szCs w:val="24"/>
                <w:lang w:val="en-US" w:eastAsia="zh-CN" w:bidi="ar"/>
              </w:rPr>
              <w:t>格式，会议审查提供</w:t>
            </w:r>
            <w:r>
              <w:rPr>
                <w:rFonts w:hint="default" w:ascii="Times New Roman" w:hAnsi="Times New Roman" w:eastAsia="宋体" w:cs="Times New Roman"/>
                <w:color w:val="auto"/>
                <w:kern w:val="2"/>
                <w:sz w:val="24"/>
                <w:szCs w:val="24"/>
                <w:lang w:val="en-US" w:eastAsia="zh-CN" w:bidi="ar"/>
              </w:rPr>
              <w:t>DWG</w:t>
            </w:r>
            <w:r>
              <w:rPr>
                <w:rFonts w:hint="eastAsia" w:ascii="宋体" w:hAnsi="宋体" w:eastAsia="宋体" w:cs="宋体"/>
                <w:color w:val="auto"/>
                <w:kern w:val="2"/>
                <w:sz w:val="24"/>
                <w:szCs w:val="24"/>
                <w:lang w:val="en-US" w:eastAsia="zh-CN" w:bidi="ar"/>
              </w:rPr>
              <w:t>格式）：标注主要设施（含储罐）名称、火灾危险类别及属性、设施之间防火间距等信息。</w:t>
            </w:r>
          </w:p>
        </w:tc>
        <w:tc>
          <w:tcPr>
            <w:tcW w:w="606" w:type="pct"/>
            <w:shd w:val="clear" w:color="auto" w:fill="auto"/>
            <w:tcMar>
              <w:top w:w="57" w:type="dxa"/>
              <w:left w:w="57" w:type="dxa"/>
              <w:bottom w:w="57" w:type="dxa"/>
              <w:right w:w="57" w:type="dxa"/>
            </w:tcMar>
            <w:vAlign w:val="top"/>
          </w:tcPr>
          <w:p w14:paraId="78E585C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p>
        </w:tc>
      </w:tr>
      <w:tr w14:paraId="66B8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1044" w:type="pct"/>
            <w:gridSpan w:val="2"/>
            <w:shd w:val="clear" w:color="auto" w:fill="auto"/>
            <w:tcMar>
              <w:top w:w="57" w:type="dxa"/>
              <w:left w:w="57" w:type="dxa"/>
              <w:bottom w:w="57" w:type="dxa"/>
              <w:right w:w="57" w:type="dxa"/>
            </w:tcMar>
            <w:vAlign w:val="center"/>
          </w:tcPr>
          <w:p w14:paraId="6D45E6C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综合意见</w:t>
            </w:r>
          </w:p>
        </w:tc>
        <w:tc>
          <w:tcPr>
            <w:tcW w:w="3955" w:type="pct"/>
            <w:gridSpan w:val="3"/>
            <w:shd w:val="clear" w:color="auto" w:fill="auto"/>
            <w:tcMar>
              <w:top w:w="57" w:type="dxa"/>
              <w:left w:w="57" w:type="dxa"/>
              <w:bottom w:w="57" w:type="dxa"/>
              <w:right w:w="57" w:type="dxa"/>
            </w:tcMar>
            <w:vAlign w:val="center"/>
          </w:tcPr>
          <w:p w14:paraId="1F9CA86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□通过</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□修改后通过</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□不予通过</w:t>
            </w:r>
          </w:p>
        </w:tc>
      </w:tr>
      <w:tr w14:paraId="0287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5000" w:type="pct"/>
            <w:gridSpan w:val="5"/>
            <w:shd w:val="clear" w:color="auto" w:fill="auto"/>
            <w:tcMar>
              <w:top w:w="57" w:type="dxa"/>
              <w:left w:w="57" w:type="dxa"/>
              <w:bottom w:w="57" w:type="dxa"/>
              <w:right w:w="57" w:type="dxa"/>
            </w:tcMar>
            <w:vAlign w:val="center"/>
          </w:tcPr>
          <w:p w14:paraId="5D5E91F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说明：</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标注</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并加粗</w:t>
            </w:r>
            <w:r>
              <w:rPr>
                <w:rFonts w:hint="eastAsia" w:ascii="宋体" w:hAnsi="宋体" w:eastAsia="宋体" w:cs="宋体"/>
                <w:color w:val="auto"/>
                <w:kern w:val="2"/>
                <w:sz w:val="24"/>
                <w:szCs w:val="24"/>
                <w:lang w:val="en-US" w:eastAsia="zh-CN" w:bidi="ar"/>
              </w:rPr>
              <w:t>的内容为</w:t>
            </w:r>
            <w:r>
              <w:rPr>
                <w:rFonts w:hint="eastAsia" w:ascii="宋体" w:hAnsi="宋体" w:eastAsia="宋体" w:cs="宋体"/>
                <w:b/>
                <w:bCs/>
                <w:color w:val="auto"/>
                <w:kern w:val="2"/>
                <w:sz w:val="24"/>
                <w:szCs w:val="24"/>
                <w:lang w:val="en-US" w:eastAsia="zh-CN" w:bidi="ar"/>
              </w:rPr>
              <w:t>否决项</w:t>
            </w:r>
            <w:r>
              <w:rPr>
                <w:rFonts w:hint="eastAsia" w:ascii="宋体" w:hAnsi="宋体" w:eastAsia="宋体" w:cs="宋体"/>
                <w:color w:val="auto"/>
                <w:kern w:val="2"/>
                <w:sz w:val="24"/>
                <w:szCs w:val="24"/>
                <w:lang w:val="en-US" w:eastAsia="zh-CN" w:bidi="ar"/>
              </w:rPr>
              <w:t>，审查发现有</w:t>
            </w:r>
            <w:r>
              <w:rPr>
                <w:rFonts w:hint="eastAsia" w:ascii="宋体" w:hAnsi="宋体" w:eastAsia="宋体" w:cs="宋体"/>
                <w:b/>
                <w:bCs/>
                <w:color w:val="auto"/>
                <w:kern w:val="2"/>
                <w:sz w:val="24"/>
                <w:szCs w:val="24"/>
                <w:lang w:val="en-US" w:eastAsia="zh-CN" w:bidi="ar"/>
              </w:rPr>
              <w:t>否决项</w:t>
            </w:r>
            <w:r>
              <w:rPr>
                <w:rFonts w:hint="eastAsia" w:ascii="宋体" w:hAnsi="宋体" w:eastAsia="宋体" w:cs="宋体"/>
                <w:color w:val="auto"/>
                <w:kern w:val="2"/>
                <w:sz w:val="24"/>
                <w:szCs w:val="24"/>
                <w:lang w:val="en-US" w:eastAsia="zh-CN" w:bidi="ar"/>
              </w:rPr>
              <w:t>或不符合总项累计</w:t>
            </w:r>
            <w:r>
              <w:rPr>
                <w:rFonts w:hint="eastAsia" w:ascii="宋体" w:hAnsi="宋体" w:eastAsia="宋体" w:cs="宋体"/>
                <w:b/>
                <w:bCs/>
                <w:color w:val="auto"/>
                <w:kern w:val="2"/>
                <w:sz w:val="24"/>
                <w:szCs w:val="24"/>
                <w:lang w:val="en-US" w:eastAsia="zh-CN" w:bidi="ar"/>
              </w:rPr>
              <w:t>超过</w:t>
            </w:r>
            <w:r>
              <w:rPr>
                <w:rFonts w:hint="default" w:ascii="Times New Roman" w:hAnsi="Times New Roman" w:eastAsia="宋体" w:cs="Times New Roman"/>
                <w:b/>
                <w:bCs/>
                <w:color w:val="auto"/>
                <w:kern w:val="2"/>
                <w:sz w:val="24"/>
                <w:szCs w:val="24"/>
                <w:lang w:val="en-US" w:eastAsia="zh-CN" w:bidi="ar"/>
              </w:rPr>
              <w:t>20</w:t>
            </w:r>
            <w:r>
              <w:rPr>
                <w:rFonts w:hint="eastAsia" w:ascii="宋体" w:hAnsi="宋体" w:eastAsia="宋体" w:cs="宋体"/>
                <w:b/>
                <w:bCs/>
                <w:color w:val="auto"/>
                <w:kern w:val="2"/>
                <w:sz w:val="24"/>
                <w:szCs w:val="24"/>
                <w:lang w:val="en-US" w:eastAsia="zh-CN" w:bidi="ar"/>
              </w:rPr>
              <w:t>个（不含</w:t>
            </w:r>
            <w:r>
              <w:rPr>
                <w:rFonts w:hint="default" w:ascii="Times New Roman" w:hAnsi="Times New Roman" w:eastAsia="宋体" w:cs="Times New Roman"/>
                <w:b/>
                <w:bCs/>
                <w:color w:val="auto"/>
                <w:kern w:val="2"/>
                <w:sz w:val="24"/>
                <w:szCs w:val="24"/>
                <w:lang w:val="en-US" w:eastAsia="zh-CN" w:bidi="ar"/>
              </w:rPr>
              <w:t>20</w:t>
            </w:r>
            <w:r>
              <w:rPr>
                <w:rFonts w:hint="eastAsia" w:ascii="宋体" w:hAnsi="宋体" w:eastAsia="宋体" w:cs="宋体"/>
                <w:b/>
                <w:bCs/>
                <w:color w:val="auto"/>
                <w:kern w:val="2"/>
                <w:sz w:val="24"/>
                <w:szCs w:val="24"/>
                <w:lang w:val="en-US" w:eastAsia="zh-CN" w:bidi="ar"/>
              </w:rPr>
              <w:t>个）</w:t>
            </w:r>
            <w:r>
              <w:rPr>
                <w:rFonts w:hint="eastAsia" w:ascii="宋体" w:hAnsi="宋体" w:eastAsia="宋体" w:cs="宋体"/>
                <w:color w:val="auto"/>
                <w:kern w:val="2"/>
                <w:sz w:val="24"/>
                <w:szCs w:val="24"/>
                <w:lang w:val="en-US" w:eastAsia="zh-CN" w:bidi="ar"/>
              </w:rPr>
              <w:t>，建设项目安全条件审查</w:t>
            </w:r>
            <w:r>
              <w:rPr>
                <w:rFonts w:hint="eastAsia" w:ascii="宋体" w:hAnsi="宋体" w:eastAsia="宋体" w:cs="宋体"/>
                <w:b/>
                <w:bCs/>
                <w:color w:val="auto"/>
                <w:kern w:val="2"/>
                <w:sz w:val="24"/>
                <w:szCs w:val="24"/>
                <w:lang w:val="en-US" w:eastAsia="zh-CN" w:bidi="ar"/>
              </w:rPr>
              <w:t>不予通过</w:t>
            </w:r>
            <w:r>
              <w:rPr>
                <w:rFonts w:hint="eastAsia" w:ascii="宋体" w:hAnsi="宋体" w:eastAsia="宋体" w:cs="宋体"/>
                <w:color w:val="auto"/>
                <w:kern w:val="2"/>
                <w:sz w:val="24"/>
                <w:szCs w:val="24"/>
                <w:lang w:val="en-US" w:eastAsia="zh-CN" w:bidi="ar"/>
              </w:rPr>
              <w:t>。</w:t>
            </w:r>
          </w:p>
          <w:p w14:paraId="1ECF57E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针对审查要点，审查专家在审查意见栏中作出</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符合</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不符合，见专家意见</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不涉及</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的结论，不符合的要简要描述问题。</w:t>
            </w:r>
          </w:p>
          <w:p w14:paraId="0DD2926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专家在审查中发现审查要点未列举的其他问题，应另在专家个人意见表记录。</w:t>
            </w:r>
          </w:p>
          <w:p w14:paraId="1EEB907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本要点编制依据：原国家安全监管总局关于印发《危险化学品建设项目安全评价细则（试行）》的通知（安监总危化〔</w:t>
            </w:r>
            <w:r>
              <w:rPr>
                <w:rFonts w:hint="default" w:ascii="Times New Roman" w:hAnsi="Times New Roman" w:eastAsia="宋体" w:cs="Times New Roman"/>
                <w:color w:val="auto"/>
                <w:kern w:val="2"/>
                <w:sz w:val="24"/>
                <w:szCs w:val="24"/>
                <w:lang w:val="en-US" w:eastAsia="zh-CN" w:bidi="ar"/>
              </w:rPr>
              <w:t>2007</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255</w:t>
            </w:r>
            <w:r>
              <w:rPr>
                <w:rFonts w:hint="eastAsia" w:ascii="宋体" w:hAnsi="宋体" w:eastAsia="宋体" w:cs="宋体"/>
                <w:color w:val="auto"/>
                <w:kern w:val="2"/>
                <w:sz w:val="24"/>
                <w:szCs w:val="24"/>
                <w:lang w:val="en-US" w:eastAsia="zh-CN" w:bidi="ar"/>
              </w:rPr>
              <w:t>号）、《危险化学品生产建设项目安全风险防控指南（试行）》（应急〔</w:t>
            </w:r>
            <w:r>
              <w:rPr>
                <w:rFonts w:hint="default" w:ascii="Times New Roman" w:hAnsi="Times New Roman" w:eastAsia="宋体" w:cs="Times New Roman"/>
                <w:color w:val="auto"/>
                <w:kern w:val="2"/>
                <w:sz w:val="24"/>
                <w:szCs w:val="24"/>
                <w:lang w:val="en-US" w:eastAsia="zh-CN" w:bidi="ar"/>
              </w:rPr>
              <w:t>2022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52</w:t>
            </w:r>
            <w:r>
              <w:rPr>
                <w:rFonts w:hint="eastAsia" w:ascii="宋体" w:hAnsi="宋体" w:eastAsia="宋体" w:cs="宋体"/>
                <w:color w:val="auto"/>
                <w:kern w:val="2"/>
                <w:sz w:val="24"/>
                <w:szCs w:val="24"/>
                <w:lang w:val="en-US" w:eastAsia="zh-CN" w:bidi="ar"/>
              </w:rPr>
              <w:t>号）等。</w:t>
            </w:r>
          </w:p>
          <w:p w14:paraId="7B84757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5.</w:t>
            </w:r>
            <w:r>
              <w:rPr>
                <w:rFonts w:hint="eastAsia" w:ascii="宋体" w:hAnsi="宋体" w:eastAsia="宋体" w:cs="宋体"/>
                <w:color w:val="auto"/>
                <w:spacing w:val="-6"/>
                <w:kern w:val="2"/>
                <w:sz w:val="24"/>
                <w:szCs w:val="24"/>
                <w:lang w:val="en-US" w:eastAsia="zh-CN" w:bidi="ar"/>
              </w:rPr>
              <w:t>报告涉及企业核心技术需要作保密处理的在相关章节简要说明，详细内容企业可以作为副本单独编印（申报时电子版不上传），会议审查时单独调阅，审查后可立即收回。</w:t>
            </w:r>
          </w:p>
          <w:p w14:paraId="3F09A4B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6.</w:t>
            </w:r>
            <w:r>
              <w:rPr>
                <w:rFonts w:hint="eastAsia" w:ascii="宋体" w:hAnsi="宋体" w:eastAsia="宋体" w:cs="宋体"/>
                <w:color w:val="auto"/>
                <w:kern w:val="2"/>
                <w:sz w:val="24"/>
                <w:szCs w:val="24"/>
                <w:lang w:val="en-US" w:eastAsia="zh-CN" w:bidi="ar"/>
              </w:rPr>
              <w:t>本要点中各要素仅作为组织审查单位和参与评审专家评审判断报告质量的参考，审查内容包含但不限于以上要素，国家有新规定的从其规定。</w:t>
            </w:r>
          </w:p>
          <w:p w14:paraId="2931CE2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7.</w:t>
            </w:r>
            <w:r>
              <w:rPr>
                <w:rFonts w:hint="eastAsia" w:ascii="宋体" w:hAnsi="宋体" w:eastAsia="宋体" w:cs="宋体"/>
                <w:color w:val="auto"/>
                <w:kern w:val="2"/>
                <w:sz w:val="24"/>
                <w:szCs w:val="24"/>
                <w:lang w:val="en-US" w:eastAsia="zh-CN" w:bidi="ar"/>
              </w:rPr>
              <w:t>本要点适用范围为按《危险化学品建设项目安全监督管理办法》执行安全审查的项目（</w:t>
            </w:r>
            <w:r>
              <w:rPr>
                <w:rFonts w:hint="eastAsia" w:ascii="宋体" w:hAnsi="宋体" w:eastAsia="宋体" w:cs="宋体"/>
                <w:b/>
                <w:bCs/>
                <w:color w:val="auto"/>
                <w:kern w:val="2"/>
                <w:sz w:val="24"/>
                <w:szCs w:val="24"/>
                <w:lang w:val="en-US" w:eastAsia="zh-CN" w:bidi="ar"/>
              </w:rPr>
              <w:t>陆上油气长输管道除外</w:t>
            </w:r>
            <w:r>
              <w:rPr>
                <w:rFonts w:hint="eastAsia" w:ascii="宋体" w:hAnsi="宋体" w:eastAsia="宋体" w:cs="宋体"/>
                <w:color w:val="auto"/>
                <w:kern w:val="2"/>
                <w:sz w:val="24"/>
                <w:szCs w:val="24"/>
                <w:lang w:val="en-US" w:eastAsia="zh-CN" w:bidi="ar"/>
              </w:rPr>
              <w:t>），其他化工建设项目可参照执行。</w:t>
            </w:r>
          </w:p>
          <w:p w14:paraId="5CBC7CC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8.</w:t>
            </w:r>
            <w:r>
              <w:rPr>
                <w:rFonts w:hint="eastAsia" w:ascii="宋体" w:hAnsi="宋体" w:eastAsia="宋体" w:cs="宋体"/>
                <w:color w:val="auto"/>
                <w:kern w:val="2"/>
                <w:sz w:val="24"/>
                <w:szCs w:val="24"/>
                <w:lang w:val="en-US" w:eastAsia="zh-CN" w:bidi="ar"/>
              </w:rPr>
              <w:t>会议审查专家组意见不一致，由专家组组长组织讨论，按少数服从多数原则确定项目是否通过。</w:t>
            </w:r>
          </w:p>
          <w:p w14:paraId="07A4461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9.</w:t>
            </w:r>
            <w:r>
              <w:rPr>
                <w:rFonts w:hint="eastAsia" w:ascii="宋体" w:hAnsi="宋体" w:eastAsia="宋体" w:cs="宋体"/>
                <w:color w:val="auto"/>
                <w:kern w:val="2"/>
                <w:sz w:val="24"/>
                <w:szCs w:val="24"/>
                <w:lang w:val="en-US" w:eastAsia="zh-CN" w:bidi="ar"/>
              </w:rPr>
              <w:t>会议审查前，会议组织单位应核实评价单位参与人员身份（签到表登记身份证件号，人证相符）。</w:t>
            </w:r>
          </w:p>
        </w:tc>
      </w:tr>
    </w:tbl>
    <w:p w14:paraId="712E2DC6">
      <w:pPr>
        <w:keepNext w:val="0"/>
        <w:keepLines w:val="0"/>
        <w:widowControl w:val="0"/>
        <w:suppressLineNumbers w:val="0"/>
        <w:spacing w:before="0" w:beforeAutospacing="0" w:after="0" w:afterAutospacing="0"/>
        <w:ind w:left="0" w:right="0"/>
        <w:jc w:val="both"/>
        <w:rPr>
          <w:rFonts w:hint="default" w:ascii="Times New Roman" w:hAnsi="Times New Roman" w:eastAsia="黑体" w:cs="Times New Roman"/>
          <w:color w:val="auto"/>
          <w:kern w:val="2"/>
          <w:sz w:val="32"/>
          <w:szCs w:val="32"/>
        </w:rPr>
      </w:pPr>
      <w:r>
        <w:rPr>
          <w:rFonts w:hint="default" w:ascii="Times New Roman" w:hAnsi="Times New Roman" w:eastAsia="黑体" w:cs="Times New Roman"/>
          <w:color w:val="auto"/>
          <w:kern w:val="2"/>
          <w:sz w:val="32"/>
          <w:szCs w:val="32"/>
          <w:lang w:val="en-US" w:eastAsia="zh-CN" w:bidi="ar"/>
        </w:rPr>
        <w:br w:type="page"/>
      </w:r>
    </w:p>
    <w:p w14:paraId="3CC90157">
      <w:pPr>
        <w:keepNext w:val="0"/>
        <w:keepLines w:val="0"/>
        <w:widowControl w:val="0"/>
        <w:suppressLineNumbers w:val="0"/>
        <w:overflowPunct w:val="0"/>
        <w:spacing w:before="0" w:beforeAutospacing="0" w:after="0" w:afterAutospacing="0" w:line="240" w:lineRule="auto"/>
        <w:ind w:left="0" w:right="0"/>
        <w:jc w:val="both"/>
        <w:rPr>
          <w:rFonts w:hint="default" w:ascii="Times New Roman" w:hAnsi="Times New Roman" w:eastAsia="黑体" w:cs="Times New Roman"/>
          <w:color w:val="auto"/>
          <w:kern w:val="2"/>
          <w:sz w:val="32"/>
          <w:szCs w:val="32"/>
        </w:rPr>
      </w:pPr>
      <w:r>
        <w:rPr>
          <w:rFonts w:hint="default" w:ascii="Times New Roman" w:hAnsi="Times New Roman" w:eastAsia="黑体" w:cs="Times New Roman"/>
          <w:color w:val="auto"/>
          <w:kern w:val="2"/>
          <w:sz w:val="32"/>
          <w:szCs w:val="32"/>
          <w:lang w:val="en-US" w:eastAsia="zh-CN" w:bidi="ar"/>
        </w:rPr>
        <w:t>附件2</w:t>
      </w:r>
    </w:p>
    <w:p w14:paraId="39498004">
      <w:pPr>
        <w:keepNext w:val="0"/>
        <w:keepLines w:val="0"/>
        <w:widowControl w:val="0"/>
        <w:suppressLineNumbers w:val="0"/>
        <w:wordWrap w:val="0"/>
        <w:overflowPunct w:val="0"/>
        <w:adjustRightInd w:val="0"/>
        <w:snapToGrid w:val="0"/>
        <w:spacing w:before="156" w:beforeLines="50" w:beforeAutospacing="0" w:after="156" w:afterLines="50" w:afterAutospacing="0" w:line="578" w:lineRule="exact"/>
        <w:ind w:left="0" w:right="0"/>
        <w:jc w:val="center"/>
        <w:rPr>
          <w:rFonts w:hint="default" w:ascii="Times New Roman" w:hAnsi="Times New Roman" w:eastAsia="方正小标宋简体" w:cs="Times New Roman"/>
          <w:color w:val="auto"/>
          <w:kern w:val="2"/>
          <w:sz w:val="44"/>
          <w:szCs w:val="44"/>
        </w:rPr>
      </w:pPr>
      <w:r>
        <w:rPr>
          <w:rFonts w:hint="default" w:ascii="方正小标宋简体" w:hAnsi="方正小标宋简体" w:eastAsia="方正小标宋简体" w:cs="方正小标宋简体"/>
          <w:color w:val="auto"/>
          <w:kern w:val="2"/>
          <w:sz w:val="44"/>
          <w:szCs w:val="44"/>
          <w:lang w:val="en-US" w:eastAsia="zh-CN" w:bidi="ar"/>
        </w:rPr>
        <w:t>湖北省危险化学品建设项目</w:t>
      </w:r>
      <w:r>
        <w:rPr>
          <w:rFonts w:hint="default" w:ascii="Times New Roman" w:hAnsi="Times New Roman" w:eastAsia="方正小标宋简体" w:cs="Times New Roman"/>
          <w:color w:val="auto"/>
          <w:kern w:val="2"/>
          <w:sz w:val="44"/>
          <w:szCs w:val="44"/>
          <w:lang w:val="en-US" w:eastAsia="zh-CN" w:bidi="ar"/>
        </w:rPr>
        <w:br w:type="textWrapping"/>
      </w:r>
      <w:r>
        <w:rPr>
          <w:rFonts w:hint="default" w:ascii="方正小标宋简体" w:hAnsi="方正小标宋简体" w:eastAsia="方正小标宋简体" w:cs="方正小标宋简体"/>
          <w:color w:val="auto"/>
          <w:kern w:val="2"/>
          <w:sz w:val="44"/>
          <w:szCs w:val="44"/>
          <w:lang w:val="en-US" w:eastAsia="zh-CN" w:bidi="ar"/>
        </w:rPr>
        <w:t>安全设施设计审查要点</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57" w:type="dxa"/>
          <w:bottom w:w="0" w:type="dxa"/>
          <w:right w:w="57" w:type="dxa"/>
        </w:tblCellMar>
      </w:tblPr>
      <w:tblGrid>
        <w:gridCol w:w="627"/>
        <w:gridCol w:w="920"/>
        <w:gridCol w:w="2985"/>
        <w:gridCol w:w="1717"/>
        <w:gridCol w:w="1599"/>
        <w:gridCol w:w="1106"/>
      </w:tblGrid>
      <w:tr w14:paraId="7C79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864" w:type="pct"/>
            <w:gridSpan w:val="2"/>
            <w:shd w:val="clear" w:color="auto" w:fill="auto"/>
            <w:tcMar>
              <w:top w:w="57" w:type="dxa"/>
              <w:left w:w="57" w:type="dxa"/>
              <w:bottom w:w="57" w:type="dxa"/>
              <w:right w:w="57" w:type="dxa"/>
            </w:tcMar>
            <w:vAlign w:val="center"/>
          </w:tcPr>
          <w:p w14:paraId="02304F0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建设单位</w:t>
            </w:r>
          </w:p>
        </w:tc>
        <w:tc>
          <w:tcPr>
            <w:tcW w:w="4135" w:type="pct"/>
            <w:gridSpan w:val="4"/>
            <w:shd w:val="clear" w:color="auto" w:fill="auto"/>
            <w:tcMar>
              <w:top w:w="57" w:type="dxa"/>
              <w:left w:w="57" w:type="dxa"/>
              <w:bottom w:w="57" w:type="dxa"/>
              <w:right w:w="57" w:type="dxa"/>
            </w:tcMar>
            <w:vAlign w:val="center"/>
          </w:tcPr>
          <w:p w14:paraId="2EA9785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p>
        </w:tc>
      </w:tr>
      <w:tr w14:paraId="4A3C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864" w:type="pct"/>
            <w:gridSpan w:val="2"/>
            <w:shd w:val="clear" w:color="auto" w:fill="auto"/>
            <w:tcMar>
              <w:top w:w="57" w:type="dxa"/>
              <w:left w:w="57" w:type="dxa"/>
              <w:bottom w:w="57" w:type="dxa"/>
              <w:right w:w="57" w:type="dxa"/>
            </w:tcMar>
            <w:vAlign w:val="center"/>
          </w:tcPr>
          <w:p w14:paraId="326C669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项目名称</w:t>
            </w:r>
          </w:p>
        </w:tc>
        <w:tc>
          <w:tcPr>
            <w:tcW w:w="4135" w:type="pct"/>
            <w:gridSpan w:val="4"/>
            <w:shd w:val="clear" w:color="auto" w:fill="auto"/>
            <w:tcMar>
              <w:top w:w="57" w:type="dxa"/>
              <w:left w:w="57" w:type="dxa"/>
              <w:bottom w:w="57" w:type="dxa"/>
              <w:right w:w="57" w:type="dxa"/>
            </w:tcMar>
            <w:vAlign w:val="center"/>
          </w:tcPr>
          <w:p w14:paraId="2813807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p>
        </w:tc>
      </w:tr>
      <w:tr w14:paraId="7E1C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864" w:type="pct"/>
            <w:gridSpan w:val="2"/>
            <w:shd w:val="clear" w:color="auto" w:fill="auto"/>
            <w:tcMar>
              <w:top w:w="57" w:type="dxa"/>
              <w:left w:w="57" w:type="dxa"/>
              <w:bottom w:w="57" w:type="dxa"/>
              <w:right w:w="57" w:type="dxa"/>
            </w:tcMar>
            <w:vAlign w:val="center"/>
          </w:tcPr>
          <w:p w14:paraId="5887A49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建设类型</w:t>
            </w:r>
          </w:p>
        </w:tc>
        <w:tc>
          <w:tcPr>
            <w:tcW w:w="4135" w:type="pct"/>
            <w:gridSpan w:val="4"/>
            <w:shd w:val="clear" w:color="auto" w:fill="auto"/>
            <w:tcMar>
              <w:top w:w="57" w:type="dxa"/>
              <w:left w:w="57" w:type="dxa"/>
              <w:bottom w:w="57" w:type="dxa"/>
              <w:right w:w="57" w:type="dxa"/>
            </w:tcMar>
            <w:vAlign w:val="center"/>
          </w:tcPr>
          <w:p w14:paraId="659F84E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 xml:space="preserve">新建□ </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 xml:space="preserve">改建□ </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扩建□</w:t>
            </w:r>
          </w:p>
        </w:tc>
      </w:tr>
      <w:tr w14:paraId="122C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864" w:type="pct"/>
            <w:gridSpan w:val="2"/>
            <w:shd w:val="clear" w:color="auto" w:fill="auto"/>
            <w:tcMar>
              <w:top w:w="57" w:type="dxa"/>
              <w:left w:w="57" w:type="dxa"/>
              <w:bottom w:w="57" w:type="dxa"/>
              <w:right w:w="57" w:type="dxa"/>
            </w:tcMar>
            <w:vAlign w:val="center"/>
          </w:tcPr>
          <w:p w14:paraId="7157D25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审查地点</w:t>
            </w:r>
          </w:p>
        </w:tc>
        <w:tc>
          <w:tcPr>
            <w:tcW w:w="1667" w:type="pct"/>
            <w:shd w:val="clear" w:color="auto" w:fill="auto"/>
            <w:tcMar>
              <w:top w:w="57" w:type="dxa"/>
              <w:left w:w="57" w:type="dxa"/>
              <w:bottom w:w="57" w:type="dxa"/>
              <w:right w:w="57" w:type="dxa"/>
            </w:tcMar>
            <w:vAlign w:val="center"/>
          </w:tcPr>
          <w:p w14:paraId="164DE83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p>
        </w:tc>
        <w:tc>
          <w:tcPr>
            <w:tcW w:w="959" w:type="pct"/>
            <w:shd w:val="clear" w:color="auto" w:fill="auto"/>
            <w:tcMar>
              <w:top w:w="57" w:type="dxa"/>
              <w:left w:w="57" w:type="dxa"/>
              <w:bottom w:w="57" w:type="dxa"/>
              <w:right w:w="57" w:type="dxa"/>
            </w:tcMar>
            <w:vAlign w:val="center"/>
          </w:tcPr>
          <w:p w14:paraId="55E15F9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审查时间</w:t>
            </w:r>
          </w:p>
        </w:tc>
        <w:tc>
          <w:tcPr>
            <w:tcW w:w="1509" w:type="pct"/>
            <w:gridSpan w:val="2"/>
            <w:shd w:val="clear" w:color="auto" w:fill="auto"/>
            <w:tcMar>
              <w:top w:w="57" w:type="dxa"/>
              <w:left w:w="57" w:type="dxa"/>
              <w:bottom w:w="57" w:type="dxa"/>
              <w:right w:w="57" w:type="dxa"/>
            </w:tcMar>
            <w:vAlign w:val="center"/>
          </w:tcPr>
          <w:p w14:paraId="05B8119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p>
        </w:tc>
      </w:tr>
      <w:tr w14:paraId="4589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350" w:type="pct"/>
            <w:shd w:val="clear" w:color="auto" w:fill="auto"/>
            <w:tcMar>
              <w:top w:w="57" w:type="dxa"/>
              <w:left w:w="57" w:type="dxa"/>
              <w:bottom w:w="57" w:type="dxa"/>
              <w:right w:w="57" w:type="dxa"/>
            </w:tcMar>
            <w:vAlign w:val="center"/>
          </w:tcPr>
          <w:p w14:paraId="1E12D39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序号</w:t>
            </w:r>
          </w:p>
        </w:tc>
        <w:tc>
          <w:tcPr>
            <w:tcW w:w="514" w:type="pct"/>
            <w:shd w:val="clear" w:color="auto" w:fill="auto"/>
            <w:tcMar>
              <w:top w:w="57" w:type="dxa"/>
              <w:left w:w="57" w:type="dxa"/>
              <w:bottom w:w="57" w:type="dxa"/>
              <w:right w:w="57" w:type="dxa"/>
            </w:tcMar>
            <w:vAlign w:val="center"/>
          </w:tcPr>
          <w:p w14:paraId="567A730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内容</w:t>
            </w:r>
          </w:p>
        </w:tc>
        <w:tc>
          <w:tcPr>
            <w:tcW w:w="3519" w:type="pct"/>
            <w:gridSpan w:val="3"/>
            <w:shd w:val="clear" w:color="auto" w:fill="auto"/>
            <w:tcMar>
              <w:top w:w="57" w:type="dxa"/>
              <w:left w:w="57" w:type="dxa"/>
              <w:bottom w:w="57" w:type="dxa"/>
              <w:right w:w="57" w:type="dxa"/>
            </w:tcMar>
            <w:vAlign w:val="center"/>
          </w:tcPr>
          <w:p w14:paraId="158B8BD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审查要点</w:t>
            </w:r>
          </w:p>
        </w:tc>
        <w:tc>
          <w:tcPr>
            <w:tcW w:w="615" w:type="pct"/>
            <w:shd w:val="clear" w:color="auto" w:fill="auto"/>
            <w:tcMar>
              <w:top w:w="57" w:type="dxa"/>
              <w:left w:w="57" w:type="dxa"/>
              <w:bottom w:w="57" w:type="dxa"/>
              <w:right w:w="57" w:type="dxa"/>
            </w:tcMar>
            <w:vAlign w:val="center"/>
          </w:tcPr>
          <w:p w14:paraId="0DBAECB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审查意见</w:t>
            </w:r>
          </w:p>
        </w:tc>
      </w:tr>
      <w:tr w14:paraId="772D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5000" w:type="pct"/>
            <w:gridSpan w:val="6"/>
            <w:shd w:val="clear" w:color="auto" w:fill="auto"/>
            <w:tcMar>
              <w:top w:w="57" w:type="dxa"/>
              <w:left w:w="57" w:type="dxa"/>
              <w:bottom w:w="57" w:type="dxa"/>
              <w:right w:w="57" w:type="dxa"/>
            </w:tcMar>
            <w:vAlign w:val="center"/>
          </w:tcPr>
          <w:p w14:paraId="31AAA1B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一、格式要求</w:t>
            </w:r>
          </w:p>
        </w:tc>
      </w:tr>
      <w:tr w14:paraId="6031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6D124F0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p>
        </w:tc>
        <w:tc>
          <w:tcPr>
            <w:tcW w:w="514" w:type="pct"/>
            <w:shd w:val="clear" w:color="auto" w:fill="auto"/>
            <w:tcMar>
              <w:top w:w="57" w:type="dxa"/>
              <w:left w:w="57" w:type="dxa"/>
              <w:bottom w:w="57" w:type="dxa"/>
              <w:right w:w="57" w:type="dxa"/>
            </w:tcMar>
            <w:vAlign w:val="center"/>
          </w:tcPr>
          <w:p w14:paraId="3652685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设计专</w:t>
            </w:r>
          </w:p>
          <w:p w14:paraId="0C19D37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篇格式</w:t>
            </w:r>
          </w:p>
        </w:tc>
        <w:tc>
          <w:tcPr>
            <w:tcW w:w="3519" w:type="pct"/>
            <w:gridSpan w:val="3"/>
            <w:shd w:val="clear" w:color="auto" w:fill="auto"/>
            <w:tcMar>
              <w:top w:w="57" w:type="dxa"/>
              <w:left w:w="57" w:type="dxa"/>
              <w:bottom w:w="57" w:type="dxa"/>
              <w:right w:w="57" w:type="dxa"/>
            </w:tcMar>
            <w:vAlign w:val="center"/>
          </w:tcPr>
          <w:p w14:paraId="18A85BA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）设计</w:t>
            </w:r>
            <w:r>
              <w:rPr>
                <w:rFonts w:hint="eastAsia" w:asciiTheme="minorEastAsia" w:hAnsiTheme="minorEastAsia" w:eastAsiaTheme="minorEastAsia" w:cstheme="minorEastAsia"/>
                <w:color w:val="auto"/>
                <w:kern w:val="2"/>
                <w:sz w:val="24"/>
                <w:szCs w:val="24"/>
                <w:lang w:val="en-US" w:eastAsia="zh-CN" w:bidi="ar"/>
              </w:rPr>
              <w:t>专篇格式符合《危险化学品建设项目安全设施设计专篇编制导则》“专篇格式”“封面格式”的要求。设计专篇封面一加盖建设项目单位公章；封面二</w:t>
            </w:r>
            <w:r>
              <w:rPr>
                <w:rFonts w:hint="eastAsia" w:ascii="宋体" w:hAnsi="宋体" w:eastAsia="宋体" w:cs="宋体"/>
                <w:color w:val="auto"/>
                <w:kern w:val="2"/>
                <w:sz w:val="24"/>
                <w:szCs w:val="24"/>
                <w:lang w:val="en-US" w:eastAsia="zh-CN" w:bidi="ar"/>
              </w:rPr>
              <w:t>加盖设计单位公章；用设计单位的公章对设计专篇封页。</w:t>
            </w:r>
          </w:p>
        </w:tc>
        <w:tc>
          <w:tcPr>
            <w:tcW w:w="615" w:type="pct"/>
            <w:shd w:val="clear" w:color="auto" w:fill="auto"/>
            <w:tcMar>
              <w:top w:w="57" w:type="dxa"/>
              <w:left w:w="57" w:type="dxa"/>
              <w:bottom w:w="57" w:type="dxa"/>
              <w:right w:w="57" w:type="dxa"/>
            </w:tcMar>
            <w:vAlign w:val="center"/>
          </w:tcPr>
          <w:p w14:paraId="1855175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452E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756997D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p>
        </w:tc>
        <w:tc>
          <w:tcPr>
            <w:tcW w:w="514" w:type="pct"/>
            <w:vMerge w:val="restart"/>
            <w:shd w:val="clear" w:color="auto" w:fill="auto"/>
            <w:tcMar>
              <w:top w:w="57" w:type="dxa"/>
              <w:left w:w="57" w:type="dxa"/>
              <w:bottom w:w="57" w:type="dxa"/>
              <w:right w:w="57" w:type="dxa"/>
            </w:tcMar>
            <w:vAlign w:val="center"/>
          </w:tcPr>
          <w:p w14:paraId="301AFBB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设计单</w:t>
            </w:r>
          </w:p>
          <w:p w14:paraId="2F6993F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位资质</w:t>
            </w:r>
          </w:p>
        </w:tc>
        <w:tc>
          <w:tcPr>
            <w:tcW w:w="3519" w:type="pct"/>
            <w:gridSpan w:val="3"/>
            <w:shd w:val="clear" w:color="auto" w:fill="auto"/>
            <w:tcMar>
              <w:top w:w="57" w:type="dxa"/>
              <w:left w:w="57" w:type="dxa"/>
              <w:bottom w:w="57" w:type="dxa"/>
              <w:right w:w="57" w:type="dxa"/>
            </w:tcMar>
            <w:vAlign w:val="center"/>
          </w:tcPr>
          <w:p w14:paraId="56A22C86">
            <w:pPr>
              <w:keepNext w:val="0"/>
              <w:keepLines w:val="0"/>
              <w:pageBreakBefore w:val="0"/>
              <w:widowControl w:val="0"/>
              <w:numPr>
                <w:ilvl w:val="0"/>
                <w:numId w:val="1"/>
              </w:numPr>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val="0"/>
                <w:bCs w:val="0"/>
                <w:color w:val="auto"/>
                <w:kern w:val="2"/>
                <w:sz w:val="24"/>
                <w:szCs w:val="24"/>
              </w:rPr>
            </w:pPr>
            <w:r>
              <w:rPr>
                <w:rFonts w:hint="eastAsia" w:ascii="宋体" w:hAnsi="宋体" w:eastAsia="宋体" w:cs="宋体"/>
                <w:b w:val="0"/>
                <w:bCs w:val="0"/>
                <w:color w:val="auto"/>
                <w:kern w:val="2"/>
                <w:sz w:val="24"/>
                <w:szCs w:val="24"/>
                <w:lang w:val="en-US" w:eastAsia="zh-CN" w:bidi="ar"/>
              </w:rPr>
              <w:t>化工建设项目应由具备化工石化医药、石油天然气等相关工程设计资质的单位进行设计。不得将其负责合同设计范围内的专篇委托其它单位代为编制</w:t>
            </w:r>
            <w:r>
              <w:rPr>
                <w:rFonts w:hint="eastAsia" w:ascii="宋体" w:hAnsi="宋体" w:eastAsia="宋体" w:cs="宋体"/>
                <w:color w:val="auto"/>
                <w:kern w:val="2"/>
                <w:sz w:val="24"/>
                <w:szCs w:val="24"/>
                <w:lang w:val="en-US" w:eastAsia="zh-CN" w:bidi="ar"/>
              </w:rPr>
              <w:t>。</w:t>
            </w:r>
          </w:p>
          <w:p w14:paraId="35943B1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应承诺不得有出租、出借资质及挂靠行为，不得将建设工程主体部分的设计委托其他具有相应资质等级的建设工程设计单位设计。</w:t>
            </w:r>
          </w:p>
        </w:tc>
        <w:tc>
          <w:tcPr>
            <w:tcW w:w="615" w:type="pct"/>
            <w:shd w:val="clear" w:color="auto" w:fill="auto"/>
            <w:tcMar>
              <w:top w:w="57" w:type="dxa"/>
              <w:left w:w="57" w:type="dxa"/>
              <w:bottom w:w="57" w:type="dxa"/>
              <w:right w:w="57" w:type="dxa"/>
            </w:tcMar>
            <w:vAlign w:val="center"/>
          </w:tcPr>
          <w:p w14:paraId="5C72EF4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5421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173" w:hRule="atLeast"/>
          <w:jc w:val="center"/>
        </w:trPr>
        <w:tc>
          <w:tcPr>
            <w:tcW w:w="350" w:type="pct"/>
            <w:vMerge w:val="continue"/>
            <w:shd w:val="clear" w:color="auto" w:fill="auto"/>
            <w:tcMar>
              <w:top w:w="57" w:type="dxa"/>
              <w:left w:w="57" w:type="dxa"/>
              <w:bottom w:w="57" w:type="dxa"/>
              <w:right w:w="57" w:type="dxa"/>
            </w:tcMar>
            <w:vAlign w:val="center"/>
          </w:tcPr>
          <w:p w14:paraId="5D6D39A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6D4E96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BB29AF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涉及重点监管危险化学品、重点监管的危险化工工艺装置，以及重大危险源（以下简称</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两重点一重大</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）的大型建设项目，应由具备工程设计综合甲级资质或者相应工程设计化工石化医药、石油天然气行业、专业甲级资质单位设计。</w:t>
            </w:r>
          </w:p>
          <w:p w14:paraId="30492BD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涉及危险化工工艺、重点监管危险化学品装置且其由成套技术商或者设备供应商提供的，由项目安全设施设计单位进行安全设计。</w:t>
            </w:r>
          </w:p>
        </w:tc>
        <w:tc>
          <w:tcPr>
            <w:tcW w:w="615" w:type="pct"/>
            <w:shd w:val="clear" w:color="auto" w:fill="auto"/>
            <w:tcMar>
              <w:top w:w="57" w:type="dxa"/>
              <w:left w:w="57" w:type="dxa"/>
              <w:bottom w:w="57" w:type="dxa"/>
              <w:right w:w="57" w:type="dxa"/>
            </w:tcMar>
            <w:vAlign w:val="center"/>
          </w:tcPr>
          <w:p w14:paraId="6BB9E01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p>
        </w:tc>
      </w:tr>
      <w:tr w14:paraId="29CD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1646" w:hRule="atLeast"/>
          <w:jc w:val="center"/>
        </w:trPr>
        <w:tc>
          <w:tcPr>
            <w:tcW w:w="350" w:type="pct"/>
            <w:vMerge w:val="continue"/>
            <w:shd w:val="clear" w:color="auto" w:fill="auto"/>
            <w:tcMar>
              <w:top w:w="57" w:type="dxa"/>
              <w:left w:w="57" w:type="dxa"/>
              <w:bottom w:w="57" w:type="dxa"/>
              <w:right w:w="57" w:type="dxa"/>
            </w:tcMar>
            <w:vAlign w:val="center"/>
          </w:tcPr>
          <w:p w14:paraId="2D67FAF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655B9ED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00133AE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设</w:t>
            </w:r>
            <w:r>
              <w:rPr>
                <w:rFonts w:hint="eastAsia" w:ascii="宋体" w:hAnsi="宋体" w:eastAsia="宋体" w:cs="宋体"/>
                <w:b/>
                <w:bCs/>
                <w:color w:val="auto"/>
                <w:spacing w:val="0"/>
                <w:kern w:val="2"/>
                <w:sz w:val="24"/>
                <w:szCs w:val="24"/>
                <w:lang w:val="en-US" w:eastAsia="zh-CN" w:bidi="ar"/>
              </w:rPr>
              <w:t>计人员的专业范围应包括安全设施设计的全部专业，如总图、工艺（储运）、设备、电气、自控、建筑、结构、暖通、给排水（消防）等。设计单位列表提供该项目安全设施设计人员的学历、职称及相关执业和职业资格情况，并注明各项对应的专业名称（注：应加盖设计单位公章）。</w:t>
            </w:r>
          </w:p>
        </w:tc>
        <w:tc>
          <w:tcPr>
            <w:tcW w:w="615" w:type="pct"/>
            <w:shd w:val="clear" w:color="auto" w:fill="auto"/>
            <w:tcMar>
              <w:top w:w="57" w:type="dxa"/>
              <w:left w:w="57" w:type="dxa"/>
              <w:bottom w:w="57" w:type="dxa"/>
              <w:right w:w="57" w:type="dxa"/>
            </w:tcMar>
            <w:vAlign w:val="center"/>
          </w:tcPr>
          <w:p w14:paraId="5A0E729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D32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638558F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p>
        </w:tc>
        <w:tc>
          <w:tcPr>
            <w:tcW w:w="514" w:type="pct"/>
            <w:shd w:val="clear" w:color="auto" w:fill="auto"/>
            <w:tcMar>
              <w:top w:w="57" w:type="dxa"/>
              <w:left w:w="57" w:type="dxa"/>
              <w:bottom w:w="57" w:type="dxa"/>
              <w:right w:w="57" w:type="dxa"/>
            </w:tcMar>
            <w:vAlign w:val="center"/>
          </w:tcPr>
          <w:p w14:paraId="71AD5BC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设计单</w:t>
            </w:r>
          </w:p>
          <w:p w14:paraId="3C053DB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位资质</w:t>
            </w:r>
          </w:p>
        </w:tc>
        <w:tc>
          <w:tcPr>
            <w:tcW w:w="3519" w:type="pct"/>
            <w:gridSpan w:val="3"/>
            <w:shd w:val="clear" w:color="auto" w:fill="auto"/>
            <w:tcMar>
              <w:top w:w="57" w:type="dxa"/>
              <w:left w:w="57" w:type="dxa"/>
              <w:bottom w:w="57" w:type="dxa"/>
              <w:right w:w="57" w:type="dxa"/>
            </w:tcMar>
            <w:vAlign w:val="center"/>
          </w:tcPr>
          <w:p w14:paraId="1543DAC8">
            <w:pPr>
              <w:keepNext w:val="0"/>
              <w:keepLines w:val="0"/>
              <w:pageBreakBefore w:val="0"/>
              <w:widowControl w:val="0"/>
              <w:suppressLineNumbers w:val="0"/>
              <w:tabs>
                <w:tab w:val="left" w:pos="546"/>
              </w:tabs>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val="0"/>
                <w:bCs w:val="0"/>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w:t>
            </w:r>
            <w:r>
              <w:rPr>
                <w:rFonts w:hint="eastAsia" w:ascii="宋体" w:hAnsi="宋体" w:eastAsia="宋体" w:cs="宋体"/>
                <w:color w:val="auto"/>
                <w:kern w:val="2"/>
                <w:sz w:val="24"/>
                <w:szCs w:val="24"/>
                <w:lang w:val="en-US" w:eastAsia="zh-CN" w:bidi="ar"/>
              </w:rPr>
              <w:t>）</w:t>
            </w:r>
            <w:r>
              <w:rPr>
                <w:rFonts w:hint="eastAsia" w:ascii="宋体" w:hAnsi="宋体" w:eastAsia="宋体" w:cs="宋体"/>
                <w:b w:val="0"/>
                <w:bCs w:val="0"/>
                <w:color w:val="auto"/>
                <w:kern w:val="2"/>
                <w:sz w:val="24"/>
                <w:szCs w:val="24"/>
                <w:lang w:val="en-US" w:eastAsia="zh-CN" w:bidi="ar"/>
              </w:rPr>
              <w:t>设计专篇编制人员签署表中，应含专业名称，有项目负责人、专业设计人员、校核人员、审核人员的本人签名，设计、校核、审核人员资质应满足专业要求，并加盖设计单位公章。</w:t>
            </w:r>
          </w:p>
          <w:p w14:paraId="107142AF">
            <w:pPr>
              <w:keepNext w:val="0"/>
              <w:keepLines w:val="0"/>
              <w:pageBreakBefore w:val="0"/>
              <w:widowControl w:val="0"/>
              <w:suppressLineNumbers w:val="0"/>
              <w:tabs>
                <w:tab w:val="left" w:pos="546"/>
              </w:tabs>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val="0"/>
                <w:bCs w:val="0"/>
                <w:color w:val="auto"/>
                <w:kern w:val="2"/>
                <w:sz w:val="24"/>
                <w:szCs w:val="24"/>
              </w:rPr>
            </w:pPr>
            <w:r>
              <w:rPr>
                <w:rFonts w:hint="eastAsia" w:ascii="宋体" w:hAnsi="宋体" w:eastAsia="宋体" w:cs="宋体"/>
                <w:color w:val="auto"/>
                <w:kern w:val="2"/>
                <w:sz w:val="24"/>
                <w:szCs w:val="24"/>
                <w:lang w:val="en-US" w:eastAsia="zh-CN" w:bidi="ar"/>
              </w:rPr>
              <w:t>应承诺参与项目的设计、校核、审核人员必须为设计单位正式职工。</w:t>
            </w:r>
          </w:p>
        </w:tc>
        <w:tc>
          <w:tcPr>
            <w:tcW w:w="615" w:type="pct"/>
            <w:shd w:val="clear" w:color="auto" w:fill="auto"/>
            <w:tcMar>
              <w:top w:w="57" w:type="dxa"/>
              <w:left w:w="57" w:type="dxa"/>
              <w:bottom w:w="57" w:type="dxa"/>
              <w:right w:w="57" w:type="dxa"/>
            </w:tcMar>
            <w:vAlign w:val="center"/>
          </w:tcPr>
          <w:p w14:paraId="27CC2FE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A20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5000" w:type="pct"/>
            <w:gridSpan w:val="6"/>
            <w:shd w:val="clear" w:color="auto" w:fill="auto"/>
            <w:tcMar>
              <w:top w:w="57" w:type="dxa"/>
              <w:left w:w="57" w:type="dxa"/>
              <w:bottom w:w="57" w:type="dxa"/>
              <w:right w:w="57" w:type="dxa"/>
            </w:tcMar>
            <w:vAlign w:val="center"/>
          </w:tcPr>
          <w:p w14:paraId="2C87100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二、设计依据</w:t>
            </w:r>
          </w:p>
        </w:tc>
      </w:tr>
      <w:tr w14:paraId="624C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7ABC2AA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w:t>
            </w:r>
          </w:p>
        </w:tc>
        <w:tc>
          <w:tcPr>
            <w:tcW w:w="514" w:type="pct"/>
            <w:shd w:val="clear" w:color="auto" w:fill="auto"/>
            <w:tcMar>
              <w:top w:w="57" w:type="dxa"/>
              <w:left w:w="57" w:type="dxa"/>
              <w:bottom w:w="57" w:type="dxa"/>
              <w:right w:w="57" w:type="dxa"/>
            </w:tcMar>
            <w:vAlign w:val="center"/>
          </w:tcPr>
          <w:p w14:paraId="429B64D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法律、法规及标准</w:t>
            </w:r>
          </w:p>
        </w:tc>
        <w:tc>
          <w:tcPr>
            <w:tcW w:w="3519" w:type="pct"/>
            <w:gridSpan w:val="3"/>
            <w:shd w:val="clear" w:color="auto" w:fill="auto"/>
            <w:tcMar>
              <w:top w:w="57" w:type="dxa"/>
              <w:left w:w="57" w:type="dxa"/>
              <w:bottom w:w="57" w:type="dxa"/>
              <w:right w:w="57" w:type="dxa"/>
            </w:tcMar>
            <w:vAlign w:val="center"/>
          </w:tcPr>
          <w:p w14:paraId="6264796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6</w:t>
            </w:r>
            <w:r>
              <w:rPr>
                <w:rFonts w:hint="eastAsia" w:ascii="宋体" w:hAnsi="宋体" w:eastAsia="宋体" w:cs="宋体"/>
                <w:color w:val="auto"/>
                <w:kern w:val="2"/>
                <w:sz w:val="24"/>
                <w:szCs w:val="24"/>
                <w:lang w:val="en-US" w:eastAsia="zh-CN" w:bidi="ar"/>
              </w:rPr>
              <w:t>）说明编制专篇依据的主要文件名称及编号，内容如下：</w:t>
            </w:r>
          </w:p>
          <w:p w14:paraId="620B1BD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）建设项目的立项批复（核准、备案）文件；</w:t>
            </w:r>
          </w:p>
          <w:p w14:paraId="751C707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）国家及地方相关法律、法规、规章及规范性文件，标明发布机构、令号或文件号；</w:t>
            </w:r>
          </w:p>
          <w:p w14:paraId="53006D6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）国家、行业及地方相关标准、规范，标明标准名称、标准号、年代号和版次；</w:t>
            </w:r>
          </w:p>
          <w:p w14:paraId="4063DE5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）设计合同；</w:t>
            </w:r>
          </w:p>
          <w:p w14:paraId="6E479AE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5</w:t>
            </w:r>
            <w:r>
              <w:rPr>
                <w:rFonts w:hint="eastAsia" w:ascii="宋体" w:hAnsi="宋体" w:eastAsia="宋体" w:cs="宋体"/>
                <w:color w:val="auto"/>
                <w:kern w:val="2"/>
                <w:sz w:val="24"/>
                <w:szCs w:val="24"/>
                <w:lang w:val="en-US" w:eastAsia="zh-CN" w:bidi="ar"/>
              </w:rPr>
              <w:t>）建设项目安全评价报告及建设项目安全条件审查意见书；</w:t>
            </w:r>
          </w:p>
          <w:p w14:paraId="632A0B7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6</w:t>
            </w:r>
            <w:r>
              <w:rPr>
                <w:rFonts w:hint="eastAsia" w:ascii="宋体" w:hAnsi="宋体" w:eastAsia="宋体" w:cs="宋体"/>
                <w:color w:val="auto"/>
                <w:kern w:val="2"/>
                <w:sz w:val="24"/>
                <w:szCs w:val="24"/>
                <w:lang w:val="en-US" w:eastAsia="zh-CN" w:bidi="ar"/>
              </w:rPr>
              <w:t>）项目其他相关文件。</w:t>
            </w:r>
          </w:p>
        </w:tc>
        <w:tc>
          <w:tcPr>
            <w:tcW w:w="615" w:type="pct"/>
            <w:shd w:val="clear" w:color="auto" w:fill="auto"/>
            <w:tcMar>
              <w:top w:w="57" w:type="dxa"/>
              <w:left w:w="57" w:type="dxa"/>
              <w:bottom w:w="57" w:type="dxa"/>
              <w:right w:w="57" w:type="dxa"/>
            </w:tcMar>
            <w:vAlign w:val="center"/>
          </w:tcPr>
          <w:p w14:paraId="61F8480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54F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5000" w:type="pct"/>
            <w:gridSpan w:val="6"/>
            <w:shd w:val="clear" w:color="auto" w:fill="auto"/>
            <w:tcMar>
              <w:top w:w="57" w:type="dxa"/>
              <w:left w:w="57" w:type="dxa"/>
              <w:bottom w:w="57" w:type="dxa"/>
              <w:right w:w="57" w:type="dxa"/>
            </w:tcMar>
            <w:vAlign w:val="center"/>
          </w:tcPr>
          <w:p w14:paraId="25AE979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三、建设项目情况</w:t>
            </w:r>
          </w:p>
        </w:tc>
      </w:tr>
      <w:tr w14:paraId="6674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58B7F7D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w:t>
            </w:r>
          </w:p>
        </w:tc>
        <w:tc>
          <w:tcPr>
            <w:tcW w:w="514" w:type="pct"/>
            <w:vMerge w:val="restart"/>
            <w:shd w:val="clear" w:color="auto" w:fill="auto"/>
            <w:tcMar>
              <w:top w:w="57" w:type="dxa"/>
              <w:left w:w="57" w:type="dxa"/>
              <w:bottom w:w="57" w:type="dxa"/>
              <w:right w:w="57" w:type="dxa"/>
            </w:tcMar>
            <w:vAlign w:val="center"/>
          </w:tcPr>
          <w:p w14:paraId="7659033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项目</w:t>
            </w:r>
          </w:p>
          <w:p w14:paraId="59885BF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简介</w:t>
            </w:r>
          </w:p>
        </w:tc>
        <w:tc>
          <w:tcPr>
            <w:tcW w:w="3519" w:type="pct"/>
            <w:gridSpan w:val="3"/>
            <w:shd w:val="clear" w:color="auto" w:fill="auto"/>
            <w:tcMar>
              <w:top w:w="57" w:type="dxa"/>
              <w:left w:w="57" w:type="dxa"/>
              <w:bottom w:w="57" w:type="dxa"/>
              <w:right w:w="57" w:type="dxa"/>
            </w:tcMar>
            <w:vAlign w:val="center"/>
          </w:tcPr>
          <w:p w14:paraId="0D8997D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7</w:t>
            </w:r>
            <w:r>
              <w:rPr>
                <w:rFonts w:hint="eastAsia" w:ascii="宋体" w:hAnsi="宋体" w:eastAsia="宋体" w:cs="宋体"/>
                <w:color w:val="auto"/>
                <w:kern w:val="2"/>
                <w:sz w:val="24"/>
                <w:szCs w:val="24"/>
                <w:lang w:val="en-US" w:eastAsia="zh-CN" w:bidi="ar"/>
              </w:rPr>
              <w:t>）说明建设单位情况及隶属关系、建设性质、生产规模、原料及产品方案、地理位置、工程占地面积、设计范围（须与安全条件审查一致，产品减少的作出说明）、设计分工（如有多家设计单位共同设计的，应由委托的总体设计单位负责编制专篇总说明，汇总项目安全评价报告中总体性意见的采纳情况，明确总体设计单位和各装置设计单位设计边界。要满足专篇总说明编制大纲要求，列出适合建设项目总体的设计依据，建设项目总体概况，建设项目总体设施设计概况，</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两重点一重大</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辨识结果）。</w:t>
            </w:r>
          </w:p>
          <w:p w14:paraId="2959F36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已经通过安全条件审查的建设项目发生变更，说明是否属于主要技术、工艺路线、原料及产品方案或者装置规模等的重大变更。</w:t>
            </w:r>
          </w:p>
        </w:tc>
        <w:tc>
          <w:tcPr>
            <w:tcW w:w="615" w:type="pct"/>
            <w:shd w:val="clear" w:color="auto" w:fill="auto"/>
            <w:tcMar>
              <w:top w:w="57" w:type="dxa"/>
              <w:left w:w="57" w:type="dxa"/>
              <w:bottom w:w="57" w:type="dxa"/>
              <w:right w:w="57" w:type="dxa"/>
            </w:tcMar>
            <w:vAlign w:val="center"/>
          </w:tcPr>
          <w:p w14:paraId="0E59D89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0CD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F323E8E">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23DF82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2146C86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8</w:t>
            </w:r>
            <w:r>
              <w:rPr>
                <w:rFonts w:hint="eastAsia" w:ascii="宋体" w:hAnsi="宋体" w:eastAsia="宋体" w:cs="宋体"/>
                <w:color w:val="auto"/>
                <w:kern w:val="2"/>
                <w:sz w:val="24"/>
                <w:szCs w:val="24"/>
                <w:lang w:val="en-US" w:eastAsia="zh-CN" w:bidi="ar"/>
              </w:rPr>
              <w:t>）明确建设项目是否涉及如下重大风险项目：</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光气、氯气等一二类急性毒性气体的建设项目；</w:t>
            </w: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涉及硝化、氯化、氟化、重氮化、过氧化等高危化工工艺的建设项目；</w:t>
            </w: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生产硝酸铵、硝基胍、氯酸铵、氯酸钾、氯酸钠等（</w:t>
            </w:r>
            <w:r>
              <w:rPr>
                <w:rFonts w:hint="eastAsia" w:ascii="宋体" w:hAnsi="宋体" w:eastAsia="宋体" w:cs="宋体"/>
                <w:b w:val="0"/>
                <w:bCs w:val="0"/>
                <w:color w:val="auto"/>
                <w:kern w:val="2"/>
                <w:sz w:val="24"/>
                <w:szCs w:val="24"/>
                <w:lang w:val="en-US" w:eastAsia="zh-CN" w:bidi="ar"/>
              </w:rPr>
              <w:t>特别是</w:t>
            </w:r>
            <w:r>
              <w:rPr>
                <w:rFonts w:hint="eastAsia" w:ascii="宋体" w:hAnsi="宋体" w:eastAsia="宋体" w:cs="宋体"/>
                <w:color w:val="auto"/>
                <w:kern w:val="2"/>
                <w:sz w:val="24"/>
                <w:szCs w:val="24"/>
                <w:lang w:val="en-US" w:eastAsia="zh-CN" w:bidi="ar"/>
              </w:rPr>
              <w:t>《危险化学品分类信息表》中爆炸物，</w:t>
            </w:r>
            <w:r>
              <w:rPr>
                <w:rFonts w:hint="default" w:ascii="Times New Roman" w:hAnsi="Times New Roman" w:eastAsia="宋体" w:cs="Times New Roman"/>
                <w:color w:val="auto"/>
                <w:kern w:val="2"/>
                <w:sz w:val="24"/>
                <w:szCs w:val="24"/>
                <w:lang w:val="en-US" w:eastAsia="zh-CN" w:bidi="ar"/>
              </w:rPr>
              <w:t>1.1</w:t>
            </w:r>
            <w:r>
              <w:rPr>
                <w:rFonts w:hint="eastAsia" w:ascii="宋体" w:hAnsi="宋体" w:eastAsia="宋体" w:cs="宋体"/>
                <w:color w:val="auto"/>
                <w:kern w:val="2"/>
                <w:sz w:val="24"/>
                <w:szCs w:val="24"/>
                <w:lang w:val="en-US" w:eastAsia="zh-CN" w:bidi="ar"/>
              </w:rPr>
              <w:t>项和氧化性固体，类别</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，下同）的危险化学品建设项目。</w:t>
            </w: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反应工艺危险度</w:t>
            </w: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级及以上的精细化工建设项目（回流蒸馏反应工艺的作备注说明，下同）。</w:t>
            </w:r>
          </w:p>
        </w:tc>
        <w:tc>
          <w:tcPr>
            <w:tcW w:w="615" w:type="pct"/>
            <w:shd w:val="clear" w:color="auto" w:fill="auto"/>
            <w:tcMar>
              <w:top w:w="57" w:type="dxa"/>
              <w:left w:w="57" w:type="dxa"/>
              <w:bottom w:w="57" w:type="dxa"/>
              <w:right w:w="57" w:type="dxa"/>
            </w:tcMar>
            <w:vAlign w:val="center"/>
          </w:tcPr>
          <w:p w14:paraId="43E4D72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26D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08DBB92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5</w:t>
            </w:r>
          </w:p>
        </w:tc>
        <w:tc>
          <w:tcPr>
            <w:tcW w:w="514" w:type="pct"/>
            <w:vMerge w:val="restart"/>
            <w:shd w:val="clear" w:color="auto" w:fill="auto"/>
            <w:tcMar>
              <w:top w:w="57" w:type="dxa"/>
              <w:left w:w="57" w:type="dxa"/>
              <w:bottom w:w="57" w:type="dxa"/>
              <w:right w:w="57" w:type="dxa"/>
            </w:tcMar>
            <w:vAlign w:val="center"/>
          </w:tcPr>
          <w:p w14:paraId="12D2D93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工艺</w:t>
            </w:r>
          </w:p>
          <w:p w14:paraId="57C667F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技术</w:t>
            </w:r>
          </w:p>
        </w:tc>
        <w:tc>
          <w:tcPr>
            <w:tcW w:w="3519" w:type="pct"/>
            <w:gridSpan w:val="3"/>
            <w:shd w:val="clear" w:color="auto" w:fill="auto"/>
            <w:tcMar>
              <w:top w:w="57" w:type="dxa"/>
              <w:left w:w="57" w:type="dxa"/>
              <w:bottom w:w="57" w:type="dxa"/>
              <w:right w:w="57" w:type="dxa"/>
            </w:tcMar>
            <w:vAlign w:val="center"/>
          </w:tcPr>
          <w:p w14:paraId="3DBF553F">
            <w:pPr>
              <w:keepNext w:val="0"/>
              <w:keepLines w:val="0"/>
              <w:pageBreakBefore w:val="0"/>
              <w:widowControl w:val="0"/>
              <w:suppressLineNumbers w:val="0"/>
              <w:tabs>
                <w:tab w:val="left" w:pos="1125"/>
              </w:tabs>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9</w:t>
            </w:r>
            <w:r>
              <w:rPr>
                <w:rFonts w:hint="eastAsia" w:ascii="宋体" w:hAnsi="宋体" w:eastAsia="宋体" w:cs="宋体"/>
                <w:b w:val="0"/>
                <w:bCs w:val="0"/>
                <w:color w:val="auto"/>
                <w:kern w:val="2"/>
                <w:sz w:val="24"/>
                <w:szCs w:val="24"/>
                <w:lang w:val="en-US" w:eastAsia="zh-CN" w:bidi="ar"/>
              </w:rPr>
              <w:t>）项目的主要技术、工艺（方式）表述详细、准确。说明项</w:t>
            </w:r>
            <w:r>
              <w:rPr>
                <w:rFonts w:hint="eastAsia" w:ascii="宋体" w:hAnsi="宋体" w:eastAsia="宋体" w:cs="宋体"/>
                <w:b w:val="0"/>
                <w:bCs w:val="0"/>
                <w:color w:val="auto"/>
                <w:spacing w:val="-6"/>
                <w:kern w:val="2"/>
                <w:sz w:val="24"/>
                <w:szCs w:val="24"/>
                <w:lang w:val="en-US" w:eastAsia="zh-CN" w:bidi="ar"/>
              </w:rPr>
              <w:t>目涉及的危险工艺情况和采取的控制措施，项目和国内外同类项目水平对比情况，所选用工艺技术是否安全可靠</w:t>
            </w:r>
            <w:r>
              <w:rPr>
                <w:rFonts w:hint="eastAsia" w:ascii="宋体" w:hAnsi="宋体" w:eastAsia="宋体" w:cs="宋体"/>
                <w:b w:val="0"/>
                <w:bCs w:val="0"/>
                <w:color w:val="auto"/>
                <w:kern w:val="2"/>
                <w:sz w:val="24"/>
                <w:szCs w:val="24"/>
                <w:lang w:val="en-US" w:eastAsia="zh-CN" w:bidi="ar"/>
              </w:rPr>
              <w:t>。对是否涉及国家明令淘汰或限制使用的工艺或设备作出说明。</w:t>
            </w:r>
          </w:p>
        </w:tc>
        <w:tc>
          <w:tcPr>
            <w:tcW w:w="615" w:type="pct"/>
            <w:shd w:val="clear" w:color="auto" w:fill="auto"/>
            <w:tcMar>
              <w:top w:w="57" w:type="dxa"/>
              <w:left w:w="57" w:type="dxa"/>
              <w:bottom w:w="57" w:type="dxa"/>
              <w:right w:w="57" w:type="dxa"/>
            </w:tcMar>
            <w:vAlign w:val="center"/>
          </w:tcPr>
          <w:p w14:paraId="17DC23E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89A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75153BC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6D737BF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298448C9">
            <w:pPr>
              <w:keepNext w:val="0"/>
              <w:keepLines w:val="0"/>
              <w:pageBreakBefore w:val="0"/>
              <w:widowControl w:val="0"/>
              <w:suppressLineNumbers w:val="0"/>
              <w:tabs>
                <w:tab w:val="left" w:pos="1125"/>
              </w:tabs>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shd w:val="clear" w:fill="FFFFFF"/>
              </w:rPr>
            </w:pPr>
            <w:r>
              <w:rPr>
                <w:rFonts w:hint="eastAsia" w:ascii="宋体" w:hAnsi="宋体" w:eastAsia="宋体" w:cs="宋体"/>
                <w:color w:val="auto"/>
                <w:kern w:val="2"/>
                <w:sz w:val="24"/>
                <w:szCs w:val="24"/>
                <w:shd w:val="clear" w:fill="FFFFFF"/>
                <w:lang w:val="en-US" w:eastAsia="zh-CN" w:bidi="ar"/>
              </w:rPr>
              <w:t>（</w:t>
            </w:r>
            <w:r>
              <w:rPr>
                <w:rFonts w:hint="default" w:ascii="Times New Roman" w:hAnsi="Times New Roman" w:eastAsia="宋体" w:cs="Times New Roman"/>
                <w:color w:val="auto"/>
                <w:kern w:val="2"/>
                <w:sz w:val="24"/>
                <w:szCs w:val="24"/>
                <w:shd w:val="clear" w:fill="FFFFFF"/>
                <w:lang w:val="en-US" w:eastAsia="zh-CN" w:bidi="ar"/>
              </w:rPr>
              <w:t>10</w:t>
            </w:r>
            <w:r>
              <w:rPr>
                <w:rFonts w:hint="eastAsia" w:ascii="宋体" w:hAnsi="宋体" w:eastAsia="宋体" w:cs="宋体"/>
                <w:color w:val="auto"/>
                <w:kern w:val="2"/>
                <w:sz w:val="24"/>
                <w:szCs w:val="24"/>
                <w:shd w:val="clear" w:fill="FFFFFF"/>
                <w:lang w:val="en-US" w:eastAsia="zh-CN" w:bidi="ar"/>
              </w:rPr>
              <w:t>）</w:t>
            </w:r>
            <w:r>
              <w:rPr>
                <w:rFonts w:hint="eastAsia" w:ascii="宋体" w:hAnsi="宋体" w:eastAsia="宋体" w:cs="宋体"/>
                <w:color w:val="auto"/>
                <w:kern w:val="2"/>
                <w:sz w:val="24"/>
                <w:szCs w:val="24"/>
                <w:lang w:val="en-US" w:eastAsia="zh-CN" w:bidi="ar"/>
              </w:rPr>
              <w:t>是否通过热稳定测试、查阅可信资料等方式获取精细化工建设项目生产工艺涉及的物料以及后处理过程中涉及的相关物料的热稳定性数据及物料分解热评估等级</w:t>
            </w:r>
            <w:r>
              <w:rPr>
                <w:rFonts w:hint="eastAsia" w:ascii="宋体" w:hAnsi="宋体" w:eastAsia="宋体" w:cs="宋体"/>
                <w:color w:val="auto"/>
                <w:kern w:val="2"/>
                <w:sz w:val="24"/>
                <w:szCs w:val="24"/>
                <w:shd w:val="clear" w:fill="FFFFFF"/>
                <w:lang w:val="en-US" w:eastAsia="zh-CN" w:bidi="ar"/>
              </w:rPr>
              <w:t>。</w:t>
            </w:r>
          </w:p>
          <w:p w14:paraId="6A5825B5">
            <w:pPr>
              <w:keepNext w:val="0"/>
              <w:keepLines w:val="0"/>
              <w:pageBreakBefore w:val="0"/>
              <w:widowControl w:val="0"/>
              <w:suppressLineNumbers w:val="0"/>
              <w:tabs>
                <w:tab w:val="left" w:pos="1125"/>
              </w:tabs>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涉及精细化工反应安全风险的，应按规定开展精细化工反应安全风险评估并简述评估报告主要内容及结论（报告原文本会议审查提供备查阅）。</w:t>
            </w:r>
          </w:p>
        </w:tc>
        <w:tc>
          <w:tcPr>
            <w:tcW w:w="615" w:type="pct"/>
            <w:shd w:val="clear" w:color="auto" w:fill="auto"/>
            <w:tcMar>
              <w:top w:w="57" w:type="dxa"/>
              <w:left w:w="57" w:type="dxa"/>
              <w:bottom w:w="57" w:type="dxa"/>
              <w:right w:w="57" w:type="dxa"/>
            </w:tcMar>
            <w:vAlign w:val="center"/>
          </w:tcPr>
          <w:p w14:paraId="1B6E1F7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F64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0BE4EE30">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C19FB6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00F1EC7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11</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新开发的化工工艺必须在小试、中试、工业化试验的基础上逐步放大到工业化生产；国内首次使用的化工工艺，应按规定开展安全可靠性论证并简述论证文件主要内容及结论。组织单位的安全可靠性论证意见文件</w:t>
            </w:r>
            <w:r>
              <w:rPr>
                <w:rFonts w:hint="eastAsia" w:ascii="宋体" w:hAnsi="宋体" w:eastAsia="宋体" w:cs="宋体"/>
                <w:b/>
                <w:bCs/>
                <w:color w:val="auto"/>
                <w:kern w:val="2"/>
                <w:sz w:val="24"/>
                <w:szCs w:val="24"/>
                <w:shd w:val="clear" w:fill="FFFFFF"/>
                <w:lang w:val="en-US" w:eastAsia="zh-CN" w:bidi="ar"/>
              </w:rPr>
              <w:t>应作为专篇附件</w:t>
            </w:r>
            <w:r>
              <w:rPr>
                <w:rFonts w:hint="eastAsia" w:ascii="宋体" w:hAnsi="宋体" w:eastAsia="宋体" w:cs="宋体"/>
                <w:b/>
                <w:bCs/>
                <w:color w:val="auto"/>
                <w:kern w:val="2"/>
                <w:sz w:val="24"/>
                <w:szCs w:val="24"/>
                <w:lang w:val="en-US" w:eastAsia="zh-CN" w:bidi="ar"/>
              </w:rPr>
              <w:t>（报告原文本会议审查提供备查阅）。</w:t>
            </w:r>
          </w:p>
        </w:tc>
        <w:tc>
          <w:tcPr>
            <w:tcW w:w="615" w:type="pct"/>
            <w:shd w:val="clear" w:color="auto" w:fill="auto"/>
            <w:tcMar>
              <w:top w:w="57" w:type="dxa"/>
              <w:left w:w="57" w:type="dxa"/>
              <w:bottom w:w="57" w:type="dxa"/>
              <w:right w:w="57" w:type="dxa"/>
            </w:tcMar>
            <w:vAlign w:val="center"/>
          </w:tcPr>
          <w:p w14:paraId="383280F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186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6E027FF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6</w:t>
            </w:r>
          </w:p>
        </w:tc>
        <w:tc>
          <w:tcPr>
            <w:tcW w:w="514" w:type="pct"/>
            <w:shd w:val="clear" w:color="auto" w:fill="auto"/>
            <w:tcMar>
              <w:top w:w="57" w:type="dxa"/>
              <w:left w:w="57" w:type="dxa"/>
              <w:bottom w:w="57" w:type="dxa"/>
              <w:right w:w="57" w:type="dxa"/>
            </w:tcMar>
            <w:vAlign w:val="center"/>
          </w:tcPr>
          <w:p w14:paraId="0B9B7AD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主要原辅材料和产品品种</w:t>
            </w:r>
          </w:p>
        </w:tc>
        <w:tc>
          <w:tcPr>
            <w:tcW w:w="3519" w:type="pct"/>
            <w:gridSpan w:val="3"/>
            <w:shd w:val="clear" w:color="auto" w:fill="auto"/>
            <w:tcMar>
              <w:top w:w="57" w:type="dxa"/>
              <w:left w:w="57" w:type="dxa"/>
              <w:bottom w:w="57" w:type="dxa"/>
              <w:right w:w="57" w:type="dxa"/>
            </w:tcMar>
            <w:vAlign w:val="center"/>
          </w:tcPr>
          <w:p w14:paraId="7A420D75">
            <w:pPr>
              <w:pStyle w:val="7"/>
              <w:keepNext w:val="0"/>
              <w:keepLines w:val="0"/>
              <w:pageBreakBefore w:val="0"/>
              <w:widowControl/>
              <w:kinsoku/>
              <w:wordWrap/>
              <w:topLinePunct w:val="0"/>
              <w:autoSpaceDE/>
              <w:autoSpaceDN/>
              <w:bidi w:val="0"/>
              <w:spacing w:before="0" w:after="0" w:line="280" w:lineRule="exact"/>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rPr>
              <w:t>（</w:t>
            </w:r>
            <w:r>
              <w:rPr>
                <w:rFonts w:hint="default" w:ascii="Times New Roman" w:hAnsi="Times New Roman" w:eastAsia="宋体" w:cs="Times New Roman"/>
                <w:color w:val="auto"/>
                <w:kern w:val="2"/>
                <w:sz w:val="24"/>
                <w:szCs w:val="24"/>
              </w:rPr>
              <w:t>12</w:t>
            </w:r>
            <w:r>
              <w:rPr>
                <w:rFonts w:hint="eastAsia" w:ascii="宋体" w:hAnsi="宋体" w:eastAsia="宋体" w:cs="宋体"/>
                <w:color w:val="auto"/>
                <w:kern w:val="2"/>
                <w:sz w:val="24"/>
                <w:szCs w:val="24"/>
              </w:rPr>
              <w:t>）列表说明项目涉及的原料、辅料（催化剂、溶剂、换热介质等在生产过程中可能用到的化学品）和产品（包括最终产品、副产品、中间产品）名称、</w:t>
            </w:r>
            <w:r>
              <w:rPr>
                <w:rFonts w:hint="default" w:ascii="Times New Roman" w:hAnsi="Times New Roman" w:eastAsia="宋体" w:cs="Times New Roman"/>
                <w:color w:val="auto"/>
                <w:kern w:val="2"/>
                <w:sz w:val="24"/>
                <w:szCs w:val="24"/>
              </w:rPr>
              <w:t>UN</w:t>
            </w:r>
            <w:r>
              <w:rPr>
                <w:rFonts w:hint="eastAsia" w:ascii="宋体" w:hAnsi="宋体" w:eastAsia="宋体" w:cs="宋体"/>
                <w:color w:val="auto"/>
                <w:kern w:val="2"/>
                <w:sz w:val="24"/>
                <w:szCs w:val="24"/>
              </w:rPr>
              <w:t>编号、年产量（使用量）、最大储存量、储存天数、储存方式、储存地点、运输方式等，并与物料平衡图或表等相一致。说明储存设施设计储量与所需周转储量匹配性。化学品名称符合《化学品命名通则》，混合物和使用商品名的产品要说明主要成分，有保密要求的物料须注明其理化特性及是否列入《危险化学品目录》。</w:t>
            </w:r>
          </w:p>
        </w:tc>
        <w:tc>
          <w:tcPr>
            <w:tcW w:w="615" w:type="pct"/>
            <w:shd w:val="clear" w:color="auto" w:fill="auto"/>
            <w:tcMar>
              <w:top w:w="57" w:type="dxa"/>
              <w:left w:w="57" w:type="dxa"/>
              <w:bottom w:w="57" w:type="dxa"/>
              <w:right w:w="57" w:type="dxa"/>
            </w:tcMar>
            <w:vAlign w:val="center"/>
          </w:tcPr>
          <w:p w14:paraId="5AB1473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CA4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6D02E6D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7</w:t>
            </w:r>
          </w:p>
        </w:tc>
        <w:tc>
          <w:tcPr>
            <w:tcW w:w="514" w:type="pct"/>
            <w:vMerge w:val="restart"/>
            <w:shd w:val="clear" w:color="auto" w:fill="auto"/>
            <w:tcMar>
              <w:top w:w="57" w:type="dxa"/>
              <w:left w:w="57" w:type="dxa"/>
              <w:bottom w:w="57" w:type="dxa"/>
              <w:right w:w="57" w:type="dxa"/>
            </w:tcMar>
            <w:vAlign w:val="center"/>
          </w:tcPr>
          <w:p w14:paraId="746D4FD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工艺流程和主要设施</w:t>
            </w:r>
          </w:p>
        </w:tc>
        <w:tc>
          <w:tcPr>
            <w:tcW w:w="3519" w:type="pct"/>
            <w:gridSpan w:val="3"/>
            <w:shd w:val="clear" w:color="auto" w:fill="auto"/>
            <w:tcMar>
              <w:top w:w="57" w:type="dxa"/>
              <w:left w:w="57" w:type="dxa"/>
              <w:bottom w:w="57" w:type="dxa"/>
              <w:right w:w="57" w:type="dxa"/>
            </w:tcMar>
            <w:vAlign w:val="center"/>
          </w:tcPr>
          <w:p w14:paraId="4C818AC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13</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提供完整、正确的带控制点工艺流程图、设备布置图。流程图上有完整的检测、控制、联锁、安全泄放等设施。工艺流程应以设备位号详细叙述，并与流程图、设备布置图、设备一览表等名称一致。生产原理或反应机理（历程）及化学（主、副反应）方程式和吸、放热情况。</w:t>
            </w:r>
          </w:p>
        </w:tc>
        <w:tc>
          <w:tcPr>
            <w:tcW w:w="615" w:type="pct"/>
            <w:shd w:val="clear" w:color="auto" w:fill="auto"/>
            <w:tcMar>
              <w:top w:w="57" w:type="dxa"/>
              <w:left w:w="57" w:type="dxa"/>
              <w:bottom w:w="57" w:type="dxa"/>
              <w:right w:w="57" w:type="dxa"/>
            </w:tcMar>
            <w:vAlign w:val="center"/>
          </w:tcPr>
          <w:p w14:paraId="7252993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191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FDE795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6C4FCB3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692AD9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14</w:t>
            </w:r>
            <w:r>
              <w:rPr>
                <w:rFonts w:hint="eastAsia" w:ascii="宋体" w:hAnsi="宋体" w:eastAsia="宋体" w:cs="宋体"/>
                <w:color w:val="auto"/>
                <w:kern w:val="2"/>
                <w:sz w:val="24"/>
                <w:szCs w:val="24"/>
                <w:lang w:val="en-US" w:eastAsia="zh-CN" w:bidi="ar"/>
              </w:rPr>
              <w:t>）提供完整、正确的物料平衡图或表。</w:t>
            </w:r>
          </w:p>
        </w:tc>
        <w:tc>
          <w:tcPr>
            <w:tcW w:w="615" w:type="pct"/>
            <w:shd w:val="clear" w:color="auto" w:fill="auto"/>
            <w:tcMar>
              <w:top w:w="57" w:type="dxa"/>
              <w:left w:w="57" w:type="dxa"/>
              <w:bottom w:w="57" w:type="dxa"/>
              <w:right w:w="57" w:type="dxa"/>
            </w:tcMar>
            <w:vAlign w:val="center"/>
          </w:tcPr>
          <w:p w14:paraId="035FFDE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1E9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7103972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7CB7F43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top"/>
          </w:tcPr>
          <w:p w14:paraId="7A79DFB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15</w:t>
            </w:r>
            <w:r>
              <w:rPr>
                <w:rFonts w:hint="eastAsia" w:ascii="宋体" w:hAnsi="宋体" w:eastAsia="宋体" w:cs="宋体"/>
                <w:color w:val="auto"/>
                <w:kern w:val="2"/>
                <w:sz w:val="24"/>
                <w:szCs w:val="24"/>
                <w:lang w:val="en-US" w:eastAsia="zh-CN" w:bidi="ar"/>
              </w:rPr>
              <w:t>）分析关键设备选型安全可靠性情况，以及生产设备产能与设计的匹配性情况。</w:t>
            </w:r>
          </w:p>
        </w:tc>
        <w:tc>
          <w:tcPr>
            <w:tcW w:w="615" w:type="pct"/>
            <w:shd w:val="clear" w:color="auto" w:fill="auto"/>
            <w:tcMar>
              <w:top w:w="57" w:type="dxa"/>
              <w:left w:w="57" w:type="dxa"/>
              <w:bottom w:w="57" w:type="dxa"/>
              <w:right w:w="57" w:type="dxa"/>
            </w:tcMar>
            <w:vAlign w:val="center"/>
          </w:tcPr>
          <w:p w14:paraId="2209E6D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1A9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3202EF9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1AF5A4A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top"/>
          </w:tcPr>
          <w:p w14:paraId="66FB5E8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16</w:t>
            </w:r>
            <w:r>
              <w:rPr>
                <w:rFonts w:hint="eastAsia" w:ascii="宋体" w:hAnsi="宋体" w:eastAsia="宋体" w:cs="宋体"/>
                <w:color w:val="auto"/>
                <w:kern w:val="2"/>
                <w:sz w:val="24"/>
                <w:szCs w:val="24"/>
                <w:lang w:val="en-US" w:eastAsia="zh-CN" w:bidi="ar"/>
              </w:rPr>
              <w:t>）工艺流程、总平面布置、生产装置及储存设施的上下游关系等说明完整、正确。</w:t>
            </w:r>
          </w:p>
        </w:tc>
        <w:tc>
          <w:tcPr>
            <w:tcW w:w="615" w:type="pct"/>
            <w:shd w:val="clear" w:color="auto" w:fill="auto"/>
            <w:tcMar>
              <w:top w:w="57" w:type="dxa"/>
              <w:left w:w="57" w:type="dxa"/>
              <w:bottom w:w="57" w:type="dxa"/>
              <w:right w:w="57" w:type="dxa"/>
            </w:tcMar>
            <w:vAlign w:val="center"/>
          </w:tcPr>
          <w:p w14:paraId="490DC98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A11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51CFC1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08C3E11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607B093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17</w:t>
            </w:r>
            <w:r>
              <w:rPr>
                <w:rFonts w:hint="eastAsia" w:ascii="宋体" w:hAnsi="宋体" w:eastAsia="宋体" w:cs="宋体"/>
                <w:b/>
                <w:bCs/>
                <w:color w:val="auto"/>
                <w:kern w:val="2"/>
                <w:sz w:val="24"/>
                <w:szCs w:val="24"/>
                <w:lang w:val="en-US" w:eastAsia="zh-CN" w:bidi="ar"/>
              </w:rPr>
              <w:t>）</w:t>
            </w:r>
            <w:r>
              <w:rPr>
                <w:rFonts w:hint="eastAsia" w:ascii="宋体" w:hAnsi="宋体" w:eastAsia="宋体" w:cs="宋体"/>
                <w:b w:val="0"/>
                <w:bCs w:val="0"/>
                <w:color w:val="auto"/>
                <w:kern w:val="2"/>
                <w:sz w:val="24"/>
                <w:szCs w:val="24"/>
                <w:lang w:val="en-US" w:eastAsia="zh-CN" w:bidi="ar"/>
              </w:rPr>
              <w:t>涉及装置共用（线）的应特别说明，分别说明各产品的工艺流程。</w:t>
            </w:r>
          </w:p>
        </w:tc>
        <w:tc>
          <w:tcPr>
            <w:tcW w:w="615" w:type="pct"/>
            <w:shd w:val="clear" w:color="auto" w:fill="auto"/>
            <w:tcMar>
              <w:top w:w="57" w:type="dxa"/>
              <w:left w:w="57" w:type="dxa"/>
              <w:bottom w:w="57" w:type="dxa"/>
              <w:right w:w="57" w:type="dxa"/>
            </w:tcMar>
            <w:vAlign w:val="center"/>
          </w:tcPr>
          <w:p w14:paraId="020DC3F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005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61A1F95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8</w:t>
            </w:r>
          </w:p>
        </w:tc>
        <w:tc>
          <w:tcPr>
            <w:tcW w:w="514" w:type="pct"/>
            <w:shd w:val="clear" w:color="auto" w:fill="auto"/>
            <w:tcMar>
              <w:top w:w="57" w:type="dxa"/>
              <w:left w:w="57" w:type="dxa"/>
              <w:bottom w:w="57" w:type="dxa"/>
              <w:right w:w="57" w:type="dxa"/>
            </w:tcMar>
            <w:vAlign w:val="center"/>
          </w:tcPr>
          <w:p w14:paraId="2ED6ABC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主要装置和设施</w:t>
            </w:r>
          </w:p>
        </w:tc>
        <w:tc>
          <w:tcPr>
            <w:tcW w:w="3519" w:type="pct"/>
            <w:gridSpan w:val="3"/>
            <w:shd w:val="clear" w:color="auto" w:fill="auto"/>
            <w:tcMar>
              <w:top w:w="57" w:type="dxa"/>
              <w:left w:w="57" w:type="dxa"/>
              <w:bottom w:w="57" w:type="dxa"/>
              <w:right w:w="57" w:type="dxa"/>
            </w:tcMar>
            <w:vAlign w:val="center"/>
          </w:tcPr>
          <w:p w14:paraId="30E4534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18</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完整、正确地列表说明设备名称（含位号）、规格型号、操作参数、设计参数、材质、介质、数量。特种设备及其附属安全附件一览表全面、清晰，与流程图、设备布置图等一致，压力容器还应标明所属类别</w:t>
            </w:r>
            <w:r>
              <w:rPr>
                <w:rFonts w:hint="eastAsia" w:ascii="宋体" w:hAnsi="宋体" w:eastAsia="宋体" w:cs="宋体"/>
                <w:color w:val="auto"/>
                <w:kern w:val="2"/>
                <w:sz w:val="24"/>
                <w:szCs w:val="24"/>
                <w:lang w:val="en-US" w:eastAsia="zh-CN" w:bidi="ar"/>
              </w:rPr>
              <w:t>。</w:t>
            </w:r>
          </w:p>
        </w:tc>
        <w:tc>
          <w:tcPr>
            <w:tcW w:w="615" w:type="pct"/>
            <w:shd w:val="clear" w:color="auto" w:fill="auto"/>
            <w:tcMar>
              <w:top w:w="57" w:type="dxa"/>
              <w:left w:w="57" w:type="dxa"/>
              <w:bottom w:w="57" w:type="dxa"/>
              <w:right w:w="57" w:type="dxa"/>
            </w:tcMar>
            <w:vAlign w:val="center"/>
          </w:tcPr>
          <w:p w14:paraId="7087DF4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63E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5E0839A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9</w:t>
            </w:r>
          </w:p>
        </w:tc>
        <w:tc>
          <w:tcPr>
            <w:tcW w:w="514" w:type="pct"/>
            <w:vMerge w:val="restart"/>
            <w:shd w:val="clear" w:color="auto" w:fill="auto"/>
            <w:tcMar>
              <w:top w:w="57" w:type="dxa"/>
              <w:left w:w="57" w:type="dxa"/>
              <w:bottom w:w="57" w:type="dxa"/>
              <w:right w:w="57" w:type="dxa"/>
            </w:tcMar>
            <w:vAlign w:val="center"/>
          </w:tcPr>
          <w:p w14:paraId="1FC55F3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配套设施和辅助工程</w:t>
            </w:r>
          </w:p>
        </w:tc>
        <w:tc>
          <w:tcPr>
            <w:tcW w:w="3519" w:type="pct"/>
            <w:gridSpan w:val="3"/>
            <w:shd w:val="clear" w:color="auto" w:fill="auto"/>
            <w:tcMar>
              <w:top w:w="57" w:type="dxa"/>
              <w:left w:w="57" w:type="dxa"/>
              <w:bottom w:w="57" w:type="dxa"/>
              <w:right w:w="57" w:type="dxa"/>
            </w:tcMar>
            <w:vAlign w:val="center"/>
          </w:tcPr>
          <w:p w14:paraId="0BEE7D1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19</w:t>
            </w:r>
            <w:r>
              <w:rPr>
                <w:rFonts w:hint="eastAsia" w:ascii="宋体" w:hAnsi="宋体" w:eastAsia="宋体" w:cs="宋体"/>
                <w:color w:val="auto"/>
                <w:kern w:val="2"/>
                <w:sz w:val="24"/>
                <w:szCs w:val="24"/>
                <w:lang w:val="en-US" w:eastAsia="zh-CN" w:bidi="ar"/>
              </w:rPr>
              <w:t>）项目配套公用工程和辅助设施的名称、能力（或者负荷）、介质（或者物料）来源等内容完整、正确。</w:t>
            </w:r>
          </w:p>
        </w:tc>
        <w:tc>
          <w:tcPr>
            <w:tcW w:w="615" w:type="pct"/>
            <w:shd w:val="clear" w:color="auto" w:fill="auto"/>
            <w:tcMar>
              <w:top w:w="57" w:type="dxa"/>
              <w:left w:w="57" w:type="dxa"/>
              <w:bottom w:w="57" w:type="dxa"/>
              <w:right w:w="57" w:type="dxa"/>
            </w:tcMar>
            <w:vAlign w:val="center"/>
          </w:tcPr>
          <w:p w14:paraId="3387B3A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2960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A7826E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63A64F1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E22C5D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eastAsia"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20</w:t>
            </w:r>
            <w:r>
              <w:rPr>
                <w:rFonts w:hint="eastAsia" w:ascii="宋体" w:hAnsi="宋体" w:eastAsia="宋体" w:cs="宋体"/>
                <w:b w:val="0"/>
                <w:bCs w:val="0"/>
                <w:color w:val="auto"/>
                <w:kern w:val="2"/>
                <w:sz w:val="24"/>
                <w:szCs w:val="24"/>
                <w:lang w:val="en-US" w:eastAsia="zh-CN" w:bidi="ar"/>
              </w:rPr>
              <w:t>）明确外部电源供电情况，简述项目配套的供电设施及能力。</w:t>
            </w:r>
          </w:p>
        </w:tc>
        <w:tc>
          <w:tcPr>
            <w:tcW w:w="615" w:type="pct"/>
            <w:shd w:val="clear" w:color="auto" w:fill="auto"/>
            <w:tcMar>
              <w:top w:w="57" w:type="dxa"/>
              <w:left w:w="57" w:type="dxa"/>
              <w:bottom w:w="57" w:type="dxa"/>
              <w:right w:w="57" w:type="dxa"/>
            </w:tcMar>
            <w:vAlign w:val="center"/>
          </w:tcPr>
          <w:p w14:paraId="6EB4B23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E83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2902939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10</w:t>
            </w:r>
          </w:p>
        </w:tc>
        <w:tc>
          <w:tcPr>
            <w:tcW w:w="514" w:type="pct"/>
            <w:vMerge w:val="restart"/>
            <w:shd w:val="clear" w:color="auto" w:fill="auto"/>
            <w:tcMar>
              <w:top w:w="57" w:type="dxa"/>
              <w:left w:w="57" w:type="dxa"/>
              <w:bottom w:w="57" w:type="dxa"/>
              <w:right w:w="57" w:type="dxa"/>
            </w:tcMar>
            <w:vAlign w:val="center"/>
          </w:tcPr>
          <w:p w14:paraId="6D02B34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项目的依托和承载</w:t>
            </w:r>
          </w:p>
        </w:tc>
        <w:tc>
          <w:tcPr>
            <w:tcW w:w="3519" w:type="pct"/>
            <w:gridSpan w:val="3"/>
            <w:shd w:val="clear" w:color="auto" w:fill="auto"/>
            <w:tcMar>
              <w:top w:w="57" w:type="dxa"/>
              <w:left w:w="57" w:type="dxa"/>
              <w:bottom w:w="57" w:type="dxa"/>
              <w:right w:w="57" w:type="dxa"/>
            </w:tcMar>
            <w:vAlign w:val="center"/>
          </w:tcPr>
          <w:p w14:paraId="605B010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21</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新建、改建、扩建项目依托或利用原有生产装置、储存条件的，应清楚表述与原生产装置、储存设施、储存条件的关系。列表说明原有储存物料的品种及储存量、储存地点、新增储存物料的品种及储存量、储存地点、总储存物料的品种及储存量符合性。</w:t>
            </w:r>
          </w:p>
        </w:tc>
        <w:tc>
          <w:tcPr>
            <w:tcW w:w="615" w:type="pct"/>
            <w:shd w:val="clear" w:color="auto" w:fill="auto"/>
            <w:tcMar>
              <w:top w:w="57" w:type="dxa"/>
              <w:left w:w="57" w:type="dxa"/>
              <w:bottom w:w="57" w:type="dxa"/>
              <w:right w:w="57" w:type="dxa"/>
            </w:tcMar>
            <w:vAlign w:val="center"/>
          </w:tcPr>
          <w:p w14:paraId="746E4F6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F82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3A6483E0">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5A6CB5A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98AB4C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22</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项目依托外部公用工程及应急救援设施的，要核算水源、电源、蒸汽、气源（仪表风、压缩空气、氮气等）、燃料气、火炬等公用工程以及消防站、气防站、医院等应急设施能力的符合性。</w:t>
            </w:r>
          </w:p>
        </w:tc>
        <w:tc>
          <w:tcPr>
            <w:tcW w:w="615" w:type="pct"/>
            <w:shd w:val="clear" w:color="auto" w:fill="auto"/>
            <w:tcMar>
              <w:top w:w="57" w:type="dxa"/>
              <w:left w:w="57" w:type="dxa"/>
              <w:bottom w:w="57" w:type="dxa"/>
              <w:right w:w="57" w:type="dxa"/>
            </w:tcMar>
            <w:vAlign w:val="center"/>
          </w:tcPr>
          <w:p w14:paraId="3653C99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E99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21E1B18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11</w:t>
            </w:r>
          </w:p>
        </w:tc>
        <w:tc>
          <w:tcPr>
            <w:tcW w:w="514" w:type="pct"/>
            <w:vMerge w:val="restart"/>
            <w:shd w:val="clear" w:color="auto" w:fill="auto"/>
            <w:tcMar>
              <w:top w:w="57" w:type="dxa"/>
              <w:left w:w="57" w:type="dxa"/>
              <w:bottom w:w="57" w:type="dxa"/>
              <w:right w:w="57" w:type="dxa"/>
            </w:tcMar>
            <w:vAlign w:val="center"/>
          </w:tcPr>
          <w:p w14:paraId="1328BA1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自然条件周边情况</w:t>
            </w:r>
          </w:p>
        </w:tc>
        <w:tc>
          <w:tcPr>
            <w:tcW w:w="3519" w:type="pct"/>
            <w:gridSpan w:val="3"/>
            <w:shd w:val="clear" w:color="auto" w:fill="auto"/>
            <w:tcMar>
              <w:top w:w="57" w:type="dxa"/>
              <w:left w:w="57" w:type="dxa"/>
              <w:bottom w:w="57" w:type="dxa"/>
              <w:right w:w="57" w:type="dxa"/>
            </w:tcMar>
            <w:vAlign w:val="center"/>
          </w:tcPr>
          <w:p w14:paraId="33F9E35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23</w:t>
            </w:r>
            <w:r>
              <w:rPr>
                <w:rFonts w:hint="eastAsia" w:ascii="宋体" w:hAnsi="宋体" w:eastAsia="宋体" w:cs="宋体"/>
                <w:color w:val="auto"/>
                <w:kern w:val="2"/>
                <w:sz w:val="24"/>
                <w:szCs w:val="24"/>
                <w:lang w:val="en-US" w:eastAsia="zh-CN" w:bidi="ar"/>
              </w:rPr>
              <w:t>）说明项目所在地的气象、水文尤其是</w:t>
            </w:r>
            <w:r>
              <w:rPr>
                <w:rFonts w:hint="eastAsia" w:ascii="宋体" w:hAnsi="宋体" w:eastAsia="宋体" w:cs="宋体"/>
                <w:b/>
                <w:bCs/>
                <w:color w:val="auto"/>
                <w:kern w:val="2"/>
                <w:sz w:val="24"/>
                <w:szCs w:val="24"/>
                <w:lang w:val="en-US" w:eastAsia="zh-CN" w:bidi="ar"/>
              </w:rPr>
              <w:t>山洪、</w:t>
            </w:r>
            <w:r>
              <w:rPr>
                <w:rFonts w:hint="eastAsia" w:ascii="宋体" w:hAnsi="宋体" w:eastAsia="宋体" w:cs="宋体"/>
                <w:color w:val="auto"/>
                <w:kern w:val="2"/>
                <w:sz w:val="24"/>
                <w:szCs w:val="24"/>
                <w:lang w:val="en-US" w:eastAsia="zh-CN" w:bidi="ar"/>
              </w:rPr>
              <w:t>地质、海拔、地震烈度等自然条件。</w:t>
            </w:r>
          </w:p>
        </w:tc>
        <w:tc>
          <w:tcPr>
            <w:tcW w:w="615" w:type="pct"/>
            <w:shd w:val="clear" w:color="auto" w:fill="auto"/>
            <w:tcMar>
              <w:top w:w="57" w:type="dxa"/>
              <w:left w:w="57" w:type="dxa"/>
              <w:bottom w:w="57" w:type="dxa"/>
              <w:right w:w="57" w:type="dxa"/>
            </w:tcMar>
            <w:vAlign w:val="center"/>
          </w:tcPr>
          <w:p w14:paraId="6DE9DBB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D81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333B94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53B2AA5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FF474C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24</w:t>
            </w:r>
            <w:r>
              <w:rPr>
                <w:rFonts w:hint="eastAsia" w:ascii="宋体" w:hAnsi="宋体" w:eastAsia="宋体" w:cs="宋体"/>
                <w:color w:val="auto"/>
                <w:kern w:val="2"/>
                <w:sz w:val="24"/>
                <w:szCs w:val="24"/>
                <w:lang w:val="en-US" w:eastAsia="zh-CN" w:bidi="ar"/>
              </w:rPr>
              <w:t>）说明项目投入生产（使用）后可能出现的最严重事故波及的范围，以及在此范围内的单位、居住区</w:t>
            </w:r>
            <w:r>
              <w:rPr>
                <w:rFonts w:hint="default" w:ascii="Times New Roman" w:hAnsi="Times New Roman" w:eastAsia="宋体" w:cs="Times New Roman"/>
                <w:color w:val="auto"/>
                <w:kern w:val="2"/>
                <w:sz w:val="24"/>
                <w:szCs w:val="24"/>
                <w:lang w:val="en-US" w:eastAsia="zh-CN" w:bidi="ar"/>
              </w:rPr>
              <w:t>24</w:t>
            </w:r>
            <w:r>
              <w:rPr>
                <w:rFonts w:hint="eastAsia" w:ascii="宋体" w:hAnsi="宋体" w:eastAsia="宋体" w:cs="宋体"/>
                <w:color w:val="auto"/>
                <w:kern w:val="2"/>
                <w:sz w:val="24"/>
                <w:szCs w:val="24"/>
                <w:lang w:val="en-US" w:eastAsia="zh-CN" w:bidi="ar"/>
              </w:rPr>
              <w:t>小时生产、经营活动和居民生活的情况。</w:t>
            </w:r>
          </w:p>
        </w:tc>
        <w:tc>
          <w:tcPr>
            <w:tcW w:w="615" w:type="pct"/>
            <w:shd w:val="clear" w:color="auto" w:fill="auto"/>
            <w:tcMar>
              <w:top w:w="57" w:type="dxa"/>
              <w:left w:w="57" w:type="dxa"/>
              <w:bottom w:w="57" w:type="dxa"/>
              <w:right w:w="57" w:type="dxa"/>
            </w:tcMar>
            <w:vAlign w:val="center"/>
          </w:tcPr>
          <w:p w14:paraId="0F47001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73B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53C1E12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12</w:t>
            </w:r>
          </w:p>
        </w:tc>
        <w:tc>
          <w:tcPr>
            <w:tcW w:w="514" w:type="pct"/>
            <w:shd w:val="clear" w:color="auto" w:fill="auto"/>
            <w:tcMar>
              <w:top w:w="57" w:type="dxa"/>
              <w:left w:w="57" w:type="dxa"/>
              <w:bottom w:w="57" w:type="dxa"/>
              <w:right w:w="57" w:type="dxa"/>
            </w:tcMar>
            <w:vAlign w:val="center"/>
          </w:tcPr>
          <w:p w14:paraId="3E5638E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安全防护距离</w:t>
            </w:r>
          </w:p>
        </w:tc>
        <w:tc>
          <w:tcPr>
            <w:tcW w:w="3519" w:type="pct"/>
            <w:gridSpan w:val="3"/>
            <w:shd w:val="clear" w:color="auto" w:fill="auto"/>
            <w:tcMar>
              <w:top w:w="57" w:type="dxa"/>
              <w:left w:w="57" w:type="dxa"/>
              <w:bottom w:w="57" w:type="dxa"/>
              <w:right w:w="57" w:type="dxa"/>
            </w:tcMar>
            <w:vAlign w:val="center"/>
          </w:tcPr>
          <w:p w14:paraId="7AC54B0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25</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项目所在地的周边情况，列表说明项目与下列重要设施的距离：</w:t>
            </w:r>
          </w:p>
          <w:p w14:paraId="68BA5B7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a</w:t>
            </w:r>
            <w:r>
              <w:rPr>
                <w:rFonts w:hint="eastAsia" w:ascii="宋体" w:hAnsi="宋体" w:eastAsia="宋体" w:cs="宋体"/>
                <w:b/>
                <w:bCs/>
                <w:color w:val="auto"/>
                <w:kern w:val="2"/>
                <w:sz w:val="24"/>
                <w:szCs w:val="24"/>
                <w:lang w:val="en-US" w:eastAsia="zh-CN" w:bidi="ar"/>
              </w:rPr>
              <w:t>）居住区及商业中心、公园等人员密集场所；</w:t>
            </w:r>
          </w:p>
          <w:p w14:paraId="54BE9D9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b</w:t>
            </w:r>
            <w:r>
              <w:rPr>
                <w:rFonts w:hint="eastAsia" w:ascii="宋体" w:hAnsi="宋体" w:eastAsia="宋体" w:cs="宋体"/>
                <w:b/>
                <w:bCs/>
                <w:color w:val="auto"/>
                <w:kern w:val="2"/>
                <w:sz w:val="24"/>
                <w:szCs w:val="24"/>
                <w:lang w:val="en-US" w:eastAsia="zh-CN" w:bidi="ar"/>
              </w:rPr>
              <w:t>）学校、医院、影剧院、体育场（馆）等公共设施；</w:t>
            </w:r>
          </w:p>
          <w:p w14:paraId="64734AA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c</w:t>
            </w:r>
            <w:r>
              <w:rPr>
                <w:rFonts w:hint="eastAsia" w:ascii="宋体" w:hAnsi="宋体" w:eastAsia="宋体" w:cs="宋体"/>
                <w:b/>
                <w:bCs/>
                <w:color w:val="auto"/>
                <w:kern w:val="2"/>
                <w:sz w:val="24"/>
                <w:szCs w:val="24"/>
                <w:lang w:val="en-US" w:eastAsia="zh-CN" w:bidi="ar"/>
              </w:rPr>
              <w:t>）车站、码头（依法经许可从事危险化学品装卸作业的除外）、机场以及通信干线、通信枢纽、铁路线路、道路交通干线、水路交通干线、地铁风亭及地铁站出入口；</w:t>
            </w:r>
          </w:p>
          <w:p w14:paraId="5BAE536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d</w:t>
            </w:r>
            <w:r>
              <w:rPr>
                <w:rFonts w:hint="eastAsia" w:ascii="宋体" w:hAnsi="宋体" w:eastAsia="宋体" w:cs="宋体"/>
                <w:b/>
                <w:bCs/>
                <w:color w:val="auto"/>
                <w:kern w:val="2"/>
                <w:sz w:val="24"/>
                <w:szCs w:val="24"/>
                <w:lang w:val="en-US" w:eastAsia="zh-CN" w:bidi="ar"/>
              </w:rPr>
              <w:t>）军事禁区、军事管理区；</w:t>
            </w:r>
          </w:p>
          <w:p w14:paraId="01A72F7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color w:val="auto"/>
                <w:kern w:val="2"/>
                <w:sz w:val="24"/>
                <w:szCs w:val="24"/>
                <w:lang w:val="en-US" w:eastAsia="zh-CN" w:bidi="ar"/>
              </w:rPr>
              <w:t>e</w:t>
            </w:r>
            <w:r>
              <w:rPr>
                <w:rFonts w:hint="eastAsia" w:ascii="宋体" w:hAnsi="宋体" w:eastAsia="宋体" w:cs="宋体"/>
                <w:b/>
                <w:bCs/>
                <w:color w:val="auto"/>
                <w:kern w:val="2"/>
                <w:sz w:val="24"/>
                <w:szCs w:val="24"/>
                <w:lang w:val="en-US" w:eastAsia="zh-CN" w:bidi="ar"/>
              </w:rPr>
              <w:t>）法律、行政法规规定的其他场所、设施、区域。</w:t>
            </w:r>
          </w:p>
        </w:tc>
        <w:tc>
          <w:tcPr>
            <w:tcW w:w="615" w:type="pct"/>
            <w:shd w:val="clear" w:color="auto" w:fill="auto"/>
            <w:tcMar>
              <w:top w:w="57" w:type="dxa"/>
              <w:left w:w="57" w:type="dxa"/>
              <w:bottom w:w="57" w:type="dxa"/>
              <w:right w:w="57" w:type="dxa"/>
            </w:tcMar>
            <w:vAlign w:val="center"/>
          </w:tcPr>
          <w:p w14:paraId="238514E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1D5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5000" w:type="pct"/>
            <w:gridSpan w:val="6"/>
            <w:shd w:val="clear" w:color="auto" w:fill="auto"/>
            <w:tcMar>
              <w:top w:w="57" w:type="dxa"/>
              <w:left w:w="57" w:type="dxa"/>
              <w:bottom w:w="57" w:type="dxa"/>
              <w:right w:w="57" w:type="dxa"/>
            </w:tcMar>
            <w:vAlign w:val="center"/>
          </w:tcPr>
          <w:p w14:paraId="165DA47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四、危险有害因素分析</w:t>
            </w:r>
          </w:p>
        </w:tc>
      </w:tr>
      <w:tr w14:paraId="14DB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31940AB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13</w:t>
            </w:r>
          </w:p>
        </w:tc>
        <w:tc>
          <w:tcPr>
            <w:tcW w:w="514" w:type="pct"/>
            <w:vMerge w:val="restart"/>
            <w:shd w:val="clear" w:color="auto" w:fill="auto"/>
            <w:tcMar>
              <w:top w:w="57" w:type="dxa"/>
              <w:left w:w="57" w:type="dxa"/>
              <w:bottom w:w="57" w:type="dxa"/>
              <w:right w:w="57" w:type="dxa"/>
            </w:tcMar>
            <w:vAlign w:val="center"/>
          </w:tcPr>
          <w:p w14:paraId="777042E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物料</w:t>
            </w:r>
          </w:p>
          <w:p w14:paraId="39CB5F4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危险性分析</w:t>
            </w:r>
          </w:p>
        </w:tc>
        <w:tc>
          <w:tcPr>
            <w:tcW w:w="3519" w:type="pct"/>
            <w:gridSpan w:val="3"/>
            <w:shd w:val="clear" w:color="auto" w:fill="auto"/>
            <w:tcMar>
              <w:top w:w="57" w:type="dxa"/>
              <w:left w:w="57" w:type="dxa"/>
              <w:bottom w:w="57" w:type="dxa"/>
              <w:right w:w="57" w:type="dxa"/>
            </w:tcMar>
            <w:vAlign w:val="center"/>
          </w:tcPr>
          <w:p w14:paraId="2A3B2AA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26</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按《危险化学品特性表》要素列表说明建设项目涉及原料、辅料和产品（包括最终产品、副产品、中间产品）等危险化学品特性数据，不得错漏。</w:t>
            </w:r>
          </w:p>
        </w:tc>
        <w:tc>
          <w:tcPr>
            <w:tcW w:w="615" w:type="pct"/>
            <w:shd w:val="clear" w:color="auto" w:fill="auto"/>
            <w:tcMar>
              <w:top w:w="57" w:type="dxa"/>
              <w:left w:w="57" w:type="dxa"/>
              <w:bottom w:w="57" w:type="dxa"/>
              <w:right w:w="57" w:type="dxa"/>
            </w:tcMar>
            <w:vAlign w:val="center"/>
          </w:tcPr>
          <w:p w14:paraId="6E3FF58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D5C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6F3C529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859EBD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2FD66E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27</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分析建设项目涉及重点监管的危险化学品、遇水反应危险化学品情况。尤其是光气、氯气等一二类急性毒性气体；硝酸铵、硝基胍、氯酸铵、氯酸钾、氯酸钠等爆炸物的，不得错漏。</w:t>
            </w:r>
          </w:p>
        </w:tc>
        <w:tc>
          <w:tcPr>
            <w:tcW w:w="615" w:type="pct"/>
            <w:shd w:val="clear" w:color="auto" w:fill="auto"/>
            <w:tcMar>
              <w:top w:w="57" w:type="dxa"/>
              <w:left w:w="57" w:type="dxa"/>
              <w:bottom w:w="57" w:type="dxa"/>
              <w:right w:w="57" w:type="dxa"/>
            </w:tcMar>
            <w:vAlign w:val="center"/>
          </w:tcPr>
          <w:p w14:paraId="28AA74B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853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38FA7D9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6A1CAE1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AA824C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28</w:t>
            </w:r>
            <w:r>
              <w:rPr>
                <w:rFonts w:hint="eastAsia" w:ascii="宋体" w:hAnsi="宋体" w:eastAsia="宋体" w:cs="宋体"/>
                <w:color w:val="auto"/>
                <w:kern w:val="2"/>
                <w:sz w:val="24"/>
                <w:szCs w:val="24"/>
                <w:lang w:val="en-US" w:eastAsia="zh-CN" w:bidi="ar"/>
              </w:rPr>
              <w:t>）分析建设项目生产过程中涉及危险化学品数量、浓度（含量）和所在的单元及其状态（温度、压力、相态等）。计算方法应当适用，结果正确。</w:t>
            </w:r>
          </w:p>
        </w:tc>
        <w:tc>
          <w:tcPr>
            <w:tcW w:w="615" w:type="pct"/>
            <w:shd w:val="clear" w:color="auto" w:fill="auto"/>
            <w:tcMar>
              <w:top w:w="57" w:type="dxa"/>
              <w:left w:w="57" w:type="dxa"/>
              <w:bottom w:w="57" w:type="dxa"/>
              <w:right w:w="57" w:type="dxa"/>
            </w:tcMar>
            <w:vAlign w:val="center"/>
          </w:tcPr>
          <w:p w14:paraId="4182C6F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AED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070E99C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14</w:t>
            </w:r>
          </w:p>
        </w:tc>
        <w:tc>
          <w:tcPr>
            <w:tcW w:w="514" w:type="pct"/>
            <w:vMerge w:val="restart"/>
            <w:shd w:val="clear" w:color="auto" w:fill="auto"/>
            <w:tcMar>
              <w:top w:w="57" w:type="dxa"/>
              <w:left w:w="57" w:type="dxa"/>
              <w:bottom w:w="57" w:type="dxa"/>
              <w:right w:w="57" w:type="dxa"/>
            </w:tcMar>
            <w:vAlign w:val="center"/>
          </w:tcPr>
          <w:p w14:paraId="5D075AC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危险有害因素分析</w:t>
            </w:r>
          </w:p>
        </w:tc>
        <w:tc>
          <w:tcPr>
            <w:tcW w:w="3519" w:type="pct"/>
            <w:gridSpan w:val="3"/>
            <w:shd w:val="clear" w:color="auto" w:fill="auto"/>
            <w:tcMar>
              <w:top w:w="57" w:type="dxa"/>
              <w:left w:w="57" w:type="dxa"/>
              <w:bottom w:w="57" w:type="dxa"/>
              <w:right w:w="57" w:type="dxa"/>
            </w:tcMar>
            <w:vAlign w:val="center"/>
          </w:tcPr>
          <w:p w14:paraId="37BD60E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29</w:t>
            </w:r>
            <w:r>
              <w:rPr>
                <w:rFonts w:hint="eastAsia" w:ascii="宋体" w:hAnsi="宋体" w:eastAsia="宋体" w:cs="宋体"/>
                <w:color w:val="auto"/>
                <w:kern w:val="2"/>
                <w:sz w:val="24"/>
                <w:szCs w:val="24"/>
                <w:lang w:val="en-US" w:eastAsia="zh-CN" w:bidi="ar"/>
              </w:rPr>
              <w:t>）根据建设项目开展过程危险性分析的结果</w:t>
            </w:r>
            <w:r>
              <w:rPr>
                <w:rFonts w:hint="eastAsia" w:ascii="宋体" w:hAnsi="宋体" w:eastAsia="宋体" w:cs="宋体"/>
                <w:b/>
                <w:bCs/>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分析并说明建设项目工艺过程和异常工况可能导致爆炸、火灾、中毒、腐蚀、灼烫、窒息等事故的危险源及危险有害因素。</w:t>
            </w:r>
          </w:p>
          <w:p w14:paraId="79D4310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对共线生产的，应针对每种产品的生产工艺进行过程危险性和物料不相容分析。特别是涉及硝化、氯化、氟化、重氮化、过氧化等危险化工工艺，反应工艺危险度</w:t>
            </w:r>
            <w:r>
              <w:rPr>
                <w:rFonts w:hint="default" w:ascii="Times New Roman" w:hAnsi="Times New Roman" w:eastAsia="宋体" w:cs="Times New Roman"/>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级及以上的化工建设项目，应开展过程危险性分析。</w:t>
            </w:r>
          </w:p>
        </w:tc>
        <w:tc>
          <w:tcPr>
            <w:tcW w:w="615" w:type="pct"/>
            <w:shd w:val="clear" w:color="auto" w:fill="auto"/>
            <w:tcMar>
              <w:top w:w="57" w:type="dxa"/>
              <w:left w:w="57" w:type="dxa"/>
              <w:bottom w:w="57" w:type="dxa"/>
              <w:right w:w="57" w:type="dxa"/>
            </w:tcMar>
            <w:vAlign w:val="center"/>
          </w:tcPr>
          <w:p w14:paraId="42EBE72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5AF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6CEE78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D7ECC5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480B4F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30</w:t>
            </w:r>
            <w:r>
              <w:rPr>
                <w:rFonts w:hint="eastAsia" w:ascii="宋体" w:hAnsi="宋体" w:eastAsia="宋体" w:cs="宋体"/>
                <w:color w:val="auto"/>
                <w:kern w:val="2"/>
                <w:sz w:val="24"/>
                <w:szCs w:val="24"/>
                <w:lang w:val="en-US" w:eastAsia="zh-CN" w:bidi="ar"/>
              </w:rPr>
              <w:t>）分析并说明建设项目可能造成作业人员伤亡的其他危险和有害因素，如粉尘、窒息、腐蚀、噪声、高温、低温、振动、坠落、机械伤害、放射性辐射等。</w:t>
            </w:r>
          </w:p>
        </w:tc>
        <w:tc>
          <w:tcPr>
            <w:tcW w:w="615" w:type="pct"/>
            <w:shd w:val="clear" w:color="auto" w:fill="auto"/>
            <w:tcMar>
              <w:top w:w="57" w:type="dxa"/>
              <w:left w:w="57" w:type="dxa"/>
              <w:bottom w:w="57" w:type="dxa"/>
              <w:right w:w="57" w:type="dxa"/>
            </w:tcMar>
            <w:vAlign w:val="center"/>
          </w:tcPr>
          <w:p w14:paraId="36BEC96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741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7E40564E">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97BECD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D3341E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31</w:t>
            </w:r>
            <w:r>
              <w:rPr>
                <w:rFonts w:hint="eastAsia" w:ascii="宋体" w:hAnsi="宋体" w:eastAsia="宋体" w:cs="宋体"/>
                <w:color w:val="auto"/>
                <w:kern w:val="2"/>
                <w:sz w:val="24"/>
                <w:szCs w:val="24"/>
                <w:lang w:val="en-US" w:eastAsia="zh-CN" w:bidi="ar"/>
              </w:rPr>
              <w:t>）对危险源及危险和有害因素存在的主要作业场所进行说明，并编制危险和有害因素分布表。涉及精细化工企业的还应建立化学品相容性矩阵。</w:t>
            </w:r>
          </w:p>
        </w:tc>
        <w:tc>
          <w:tcPr>
            <w:tcW w:w="615" w:type="pct"/>
            <w:shd w:val="clear" w:color="auto" w:fill="auto"/>
            <w:tcMar>
              <w:top w:w="57" w:type="dxa"/>
              <w:left w:w="57" w:type="dxa"/>
              <w:bottom w:w="57" w:type="dxa"/>
              <w:right w:w="57" w:type="dxa"/>
            </w:tcMar>
            <w:vAlign w:val="center"/>
          </w:tcPr>
          <w:p w14:paraId="28FAAB4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9B4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7AF2DF0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15</w:t>
            </w:r>
          </w:p>
        </w:tc>
        <w:tc>
          <w:tcPr>
            <w:tcW w:w="514" w:type="pct"/>
            <w:shd w:val="clear" w:color="auto" w:fill="auto"/>
            <w:tcMar>
              <w:top w:w="57" w:type="dxa"/>
              <w:left w:w="57" w:type="dxa"/>
              <w:bottom w:w="57" w:type="dxa"/>
              <w:right w:w="57" w:type="dxa"/>
            </w:tcMar>
            <w:vAlign w:val="center"/>
          </w:tcPr>
          <w:p w14:paraId="06640FA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火灾和爆炸区域划分</w:t>
            </w:r>
          </w:p>
        </w:tc>
        <w:tc>
          <w:tcPr>
            <w:tcW w:w="3519" w:type="pct"/>
            <w:gridSpan w:val="3"/>
            <w:shd w:val="clear" w:color="auto" w:fill="auto"/>
            <w:tcMar>
              <w:top w:w="57" w:type="dxa"/>
              <w:left w:w="57" w:type="dxa"/>
              <w:bottom w:w="57" w:type="dxa"/>
              <w:right w:w="57" w:type="dxa"/>
            </w:tcMar>
            <w:vAlign w:val="center"/>
          </w:tcPr>
          <w:p w14:paraId="531CD9D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32</w:t>
            </w:r>
            <w:r>
              <w:rPr>
                <w:rFonts w:hint="eastAsia" w:ascii="宋体" w:hAnsi="宋体" w:eastAsia="宋体" w:cs="宋体"/>
                <w:color w:val="auto"/>
                <w:kern w:val="2"/>
                <w:sz w:val="24"/>
                <w:szCs w:val="24"/>
                <w:lang w:val="en-US" w:eastAsia="zh-CN" w:bidi="ar"/>
              </w:rPr>
              <w:t>）说明装置或单元的火灾危险性分类和爆炸危险区域划分结果，并列表描述。</w:t>
            </w:r>
          </w:p>
        </w:tc>
        <w:tc>
          <w:tcPr>
            <w:tcW w:w="615" w:type="pct"/>
            <w:shd w:val="clear" w:color="auto" w:fill="auto"/>
            <w:tcMar>
              <w:top w:w="57" w:type="dxa"/>
              <w:left w:w="57" w:type="dxa"/>
              <w:bottom w:w="57" w:type="dxa"/>
              <w:right w:w="57" w:type="dxa"/>
            </w:tcMar>
            <w:vAlign w:val="center"/>
          </w:tcPr>
          <w:p w14:paraId="18980EF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743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09A2B86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16</w:t>
            </w:r>
          </w:p>
        </w:tc>
        <w:tc>
          <w:tcPr>
            <w:tcW w:w="514" w:type="pct"/>
            <w:shd w:val="clear" w:color="auto" w:fill="auto"/>
            <w:tcMar>
              <w:top w:w="57" w:type="dxa"/>
              <w:left w:w="57" w:type="dxa"/>
              <w:bottom w:w="57" w:type="dxa"/>
              <w:right w:w="57" w:type="dxa"/>
            </w:tcMar>
            <w:vAlign w:val="center"/>
          </w:tcPr>
          <w:p w14:paraId="520B62C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重大危险源</w:t>
            </w:r>
          </w:p>
          <w:p w14:paraId="6511A2D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分析</w:t>
            </w:r>
          </w:p>
        </w:tc>
        <w:tc>
          <w:tcPr>
            <w:tcW w:w="3519" w:type="pct"/>
            <w:gridSpan w:val="3"/>
            <w:shd w:val="clear" w:color="auto" w:fill="auto"/>
            <w:tcMar>
              <w:top w:w="57" w:type="dxa"/>
              <w:left w:w="57" w:type="dxa"/>
              <w:bottom w:w="57" w:type="dxa"/>
              <w:right w:w="57" w:type="dxa"/>
            </w:tcMar>
            <w:vAlign w:val="center"/>
          </w:tcPr>
          <w:p w14:paraId="06F1D57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33</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按照《危险化学品重大危险源辨识》《危险化学品重大危险源监督管理暂行规定》辨识重大危险源、划分重大危险源等级。</w:t>
            </w:r>
          </w:p>
        </w:tc>
        <w:tc>
          <w:tcPr>
            <w:tcW w:w="615" w:type="pct"/>
            <w:shd w:val="clear" w:color="auto" w:fill="auto"/>
            <w:tcMar>
              <w:top w:w="57" w:type="dxa"/>
              <w:left w:w="57" w:type="dxa"/>
              <w:bottom w:w="57" w:type="dxa"/>
              <w:right w:w="57" w:type="dxa"/>
            </w:tcMar>
            <w:vAlign w:val="center"/>
          </w:tcPr>
          <w:p w14:paraId="55FFF02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79E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5F29C85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17</w:t>
            </w:r>
          </w:p>
        </w:tc>
        <w:tc>
          <w:tcPr>
            <w:tcW w:w="514" w:type="pct"/>
            <w:shd w:val="clear" w:color="auto" w:fill="auto"/>
            <w:tcMar>
              <w:top w:w="57" w:type="dxa"/>
              <w:left w:w="57" w:type="dxa"/>
              <w:bottom w:w="57" w:type="dxa"/>
              <w:right w:w="57" w:type="dxa"/>
            </w:tcMar>
            <w:vAlign w:val="center"/>
          </w:tcPr>
          <w:p w14:paraId="4135572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高危工艺分析</w:t>
            </w:r>
          </w:p>
        </w:tc>
        <w:tc>
          <w:tcPr>
            <w:tcW w:w="3519" w:type="pct"/>
            <w:gridSpan w:val="3"/>
            <w:shd w:val="clear" w:color="auto" w:fill="auto"/>
            <w:tcMar>
              <w:top w:w="57" w:type="dxa"/>
              <w:left w:w="57" w:type="dxa"/>
              <w:bottom w:w="57" w:type="dxa"/>
              <w:right w:w="57" w:type="dxa"/>
            </w:tcMar>
            <w:vAlign w:val="center"/>
          </w:tcPr>
          <w:p w14:paraId="447B7CC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34</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辨识说明建设项目工艺装置是否属于重点监管的危险化工工艺。特别是硝化、氯化、氟化、重氮化、过氧化危险化工工艺，以及反应工艺危险度被确定为</w:t>
            </w:r>
            <w:r>
              <w:rPr>
                <w:rFonts w:hint="default" w:ascii="Times New Roman" w:hAnsi="Times New Roman" w:eastAsia="宋体" w:cs="Times New Roman"/>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级及以上的化工建设项目。</w:t>
            </w:r>
          </w:p>
          <w:p w14:paraId="4EA88CF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当建设项目采用的化工工艺与重点监管化工工艺名称类似，但其工艺过程与相关规定中的工艺危险特点典型工艺并不相同时，应说明此工艺</w:t>
            </w:r>
            <w:r>
              <w:rPr>
                <w:rFonts w:hint="eastAsia" w:ascii="宋体" w:hAnsi="宋体" w:eastAsia="宋体" w:cs="宋体"/>
                <w:b w:val="0"/>
                <w:bCs w:val="0"/>
                <w:color w:val="auto"/>
                <w:kern w:val="2"/>
                <w:sz w:val="24"/>
                <w:szCs w:val="24"/>
                <w:lang w:val="en-US" w:eastAsia="zh-CN" w:bidi="ar"/>
              </w:rPr>
              <w:t>不属于</w:t>
            </w:r>
            <w:r>
              <w:rPr>
                <w:rFonts w:hint="eastAsia" w:ascii="宋体" w:hAnsi="宋体" w:eastAsia="宋体" w:cs="宋体"/>
                <w:color w:val="auto"/>
                <w:kern w:val="2"/>
                <w:sz w:val="24"/>
                <w:szCs w:val="24"/>
                <w:lang w:val="en-US" w:eastAsia="zh-CN" w:bidi="ar"/>
              </w:rPr>
              <w:t>重点监管</w:t>
            </w:r>
            <w:r>
              <w:rPr>
                <w:rFonts w:hint="eastAsia" w:ascii="宋体" w:hAnsi="宋体" w:eastAsia="宋体" w:cs="宋体"/>
                <w:b w:val="0"/>
                <w:bCs w:val="0"/>
                <w:color w:val="auto"/>
                <w:kern w:val="2"/>
                <w:sz w:val="24"/>
                <w:szCs w:val="24"/>
                <w:lang w:val="en-US" w:eastAsia="zh-CN" w:bidi="ar"/>
              </w:rPr>
              <w:t>化工工艺</w:t>
            </w:r>
            <w:r>
              <w:rPr>
                <w:rFonts w:hint="eastAsia" w:ascii="宋体" w:hAnsi="宋体" w:eastAsia="宋体" w:cs="宋体"/>
                <w:color w:val="auto"/>
                <w:kern w:val="2"/>
                <w:sz w:val="24"/>
                <w:szCs w:val="24"/>
                <w:lang w:val="en-US" w:eastAsia="zh-CN" w:bidi="ar"/>
              </w:rPr>
              <w:t>的理由。</w:t>
            </w:r>
          </w:p>
        </w:tc>
        <w:tc>
          <w:tcPr>
            <w:tcW w:w="615" w:type="pct"/>
            <w:shd w:val="clear" w:color="auto" w:fill="auto"/>
            <w:tcMar>
              <w:top w:w="57" w:type="dxa"/>
              <w:left w:w="57" w:type="dxa"/>
              <w:bottom w:w="57" w:type="dxa"/>
              <w:right w:w="57" w:type="dxa"/>
            </w:tcMar>
            <w:vAlign w:val="center"/>
          </w:tcPr>
          <w:p w14:paraId="2F393D1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617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4F57574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18</w:t>
            </w:r>
          </w:p>
        </w:tc>
        <w:tc>
          <w:tcPr>
            <w:tcW w:w="514" w:type="pct"/>
            <w:shd w:val="clear" w:color="auto" w:fill="auto"/>
            <w:tcMar>
              <w:top w:w="57" w:type="dxa"/>
              <w:left w:w="57" w:type="dxa"/>
              <w:bottom w:w="57" w:type="dxa"/>
              <w:right w:w="57" w:type="dxa"/>
            </w:tcMar>
            <w:vAlign w:val="center"/>
          </w:tcPr>
          <w:p w14:paraId="0542B61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相互影响分析</w:t>
            </w:r>
          </w:p>
        </w:tc>
        <w:tc>
          <w:tcPr>
            <w:tcW w:w="3519" w:type="pct"/>
            <w:gridSpan w:val="3"/>
            <w:shd w:val="clear" w:color="auto" w:fill="auto"/>
            <w:tcMar>
              <w:top w:w="57" w:type="dxa"/>
              <w:left w:w="57" w:type="dxa"/>
              <w:bottom w:w="57" w:type="dxa"/>
              <w:right w:w="57" w:type="dxa"/>
            </w:tcMar>
            <w:vAlign w:val="center"/>
          </w:tcPr>
          <w:p w14:paraId="42219A8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35</w:t>
            </w:r>
            <w:r>
              <w:rPr>
                <w:rFonts w:hint="eastAsia" w:ascii="宋体" w:hAnsi="宋体" w:eastAsia="宋体" w:cs="宋体"/>
                <w:color w:val="auto"/>
                <w:kern w:val="2"/>
                <w:sz w:val="24"/>
                <w:szCs w:val="24"/>
                <w:lang w:val="en-US" w:eastAsia="zh-CN" w:bidi="ar"/>
              </w:rPr>
              <w:t>）涉及多套装置的建设项目或者同一企业毗邻在役装置的建设项目，</w:t>
            </w:r>
            <w:r>
              <w:rPr>
                <w:rFonts w:hint="eastAsia" w:ascii="宋体" w:hAnsi="宋体" w:eastAsia="宋体" w:cs="宋体"/>
                <w:color w:val="auto"/>
                <w:kern w:val="2"/>
                <w:sz w:val="24"/>
                <w:szCs w:val="24"/>
                <w:shd w:val="clear" w:fill="FFFFFF"/>
                <w:lang w:val="en-US" w:eastAsia="zh-CN" w:bidi="ar"/>
              </w:rPr>
              <w:t>应引用安全评价报告中多米诺分析结果说明多米诺效应，</w:t>
            </w:r>
            <w:r>
              <w:rPr>
                <w:rFonts w:hint="eastAsia" w:ascii="宋体" w:hAnsi="宋体" w:eastAsia="宋体" w:cs="宋体"/>
                <w:color w:val="auto"/>
                <w:kern w:val="2"/>
                <w:sz w:val="24"/>
                <w:szCs w:val="24"/>
                <w:lang w:val="en-US" w:eastAsia="zh-CN" w:bidi="ar"/>
              </w:rPr>
              <w:t>当基础设计阶段多米诺计算输入条件较安全条件审</w:t>
            </w:r>
            <w:r>
              <w:rPr>
                <w:rFonts w:hint="eastAsia" w:ascii="宋体" w:hAnsi="宋体" w:eastAsia="宋体" w:cs="宋体"/>
                <w:color w:val="auto"/>
                <w:spacing w:val="6"/>
                <w:kern w:val="2"/>
                <w:sz w:val="24"/>
                <w:szCs w:val="24"/>
                <w:lang w:val="en-US" w:eastAsia="zh-CN" w:bidi="ar"/>
              </w:rPr>
              <w:t>查阶段发生变更时，建设单位重新组织开展多米诺计算，分析其相互间的影响及可能产生的危险，并说明主要分析结果。</w:t>
            </w:r>
          </w:p>
        </w:tc>
        <w:tc>
          <w:tcPr>
            <w:tcW w:w="615" w:type="pct"/>
            <w:shd w:val="clear" w:color="auto" w:fill="auto"/>
            <w:tcMar>
              <w:top w:w="57" w:type="dxa"/>
              <w:left w:w="57" w:type="dxa"/>
              <w:bottom w:w="57" w:type="dxa"/>
              <w:right w:w="57" w:type="dxa"/>
            </w:tcMar>
            <w:vAlign w:val="center"/>
          </w:tcPr>
          <w:p w14:paraId="5D572BF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AD9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0F8854E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19</w:t>
            </w:r>
          </w:p>
        </w:tc>
        <w:tc>
          <w:tcPr>
            <w:tcW w:w="514" w:type="pct"/>
            <w:vMerge w:val="restart"/>
            <w:shd w:val="clear" w:color="auto" w:fill="auto"/>
            <w:tcMar>
              <w:top w:w="57" w:type="dxa"/>
              <w:left w:w="57" w:type="dxa"/>
              <w:bottom w:w="57" w:type="dxa"/>
              <w:right w:w="57" w:type="dxa"/>
            </w:tcMar>
            <w:vAlign w:val="center"/>
          </w:tcPr>
          <w:p w14:paraId="76780C2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专项安全报告分析</w:t>
            </w:r>
          </w:p>
        </w:tc>
        <w:tc>
          <w:tcPr>
            <w:tcW w:w="3519" w:type="pct"/>
            <w:gridSpan w:val="3"/>
            <w:shd w:val="clear" w:color="auto" w:fill="auto"/>
            <w:tcMar>
              <w:top w:w="57" w:type="dxa"/>
              <w:left w:w="57" w:type="dxa"/>
              <w:bottom w:w="57" w:type="dxa"/>
              <w:right w:w="57" w:type="dxa"/>
            </w:tcMar>
            <w:vAlign w:val="center"/>
          </w:tcPr>
          <w:p w14:paraId="16CE07C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36</w:t>
            </w:r>
            <w:r>
              <w:rPr>
                <w:rFonts w:hint="eastAsia" w:ascii="宋体" w:hAnsi="宋体" w:eastAsia="宋体" w:cs="宋体"/>
                <w:color w:val="auto"/>
                <w:kern w:val="2"/>
                <w:sz w:val="24"/>
                <w:szCs w:val="24"/>
                <w:lang w:val="en-US" w:eastAsia="zh-CN" w:bidi="ar"/>
              </w:rPr>
              <w:t>）是否根据建设项目前期开展的专项安全报告（精细化工反应风险评估、安全评价等），说明危险分析及评价的主要结果。专篇采用安全评价报告中的外部安全防护距离、个人风险和社会风险的计算结果，若基础设计阶段计算输入条件较安全条件审查阶段发生变更时，建设单位应重新组织开展外部安全防护距离、个人风险和社会风险的计算。</w:t>
            </w:r>
          </w:p>
        </w:tc>
        <w:tc>
          <w:tcPr>
            <w:tcW w:w="615" w:type="pct"/>
            <w:shd w:val="clear" w:color="auto" w:fill="auto"/>
            <w:tcMar>
              <w:top w:w="57" w:type="dxa"/>
              <w:left w:w="57" w:type="dxa"/>
              <w:bottom w:w="57" w:type="dxa"/>
              <w:right w:w="57" w:type="dxa"/>
            </w:tcMar>
            <w:vAlign w:val="center"/>
          </w:tcPr>
          <w:p w14:paraId="35C3BE2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564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96B3E5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5A0CF62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FDDCC2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37</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分析评价报告中的爆炸危险性物质、爆炸性粉尘分析结论是否可信。</w:t>
            </w:r>
          </w:p>
        </w:tc>
        <w:tc>
          <w:tcPr>
            <w:tcW w:w="615" w:type="pct"/>
            <w:shd w:val="clear" w:color="auto" w:fill="auto"/>
            <w:tcMar>
              <w:top w:w="57" w:type="dxa"/>
              <w:left w:w="57" w:type="dxa"/>
              <w:bottom w:w="57" w:type="dxa"/>
              <w:right w:w="57" w:type="dxa"/>
            </w:tcMar>
            <w:vAlign w:val="center"/>
          </w:tcPr>
          <w:p w14:paraId="3F25AEE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7DD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73641E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29FD90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7621A4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38</w:t>
            </w:r>
            <w:r>
              <w:rPr>
                <w:rFonts w:hint="eastAsia" w:ascii="宋体" w:hAnsi="宋体" w:eastAsia="宋体" w:cs="宋体"/>
                <w:color w:val="auto"/>
                <w:kern w:val="2"/>
                <w:sz w:val="24"/>
                <w:szCs w:val="24"/>
                <w:lang w:val="en-US" w:eastAsia="zh-CN" w:bidi="ar"/>
              </w:rPr>
              <w:t>）预测</w:t>
            </w:r>
            <w:r>
              <w:rPr>
                <w:rFonts w:hint="eastAsia" w:ascii="宋体" w:hAnsi="宋体" w:eastAsia="宋体" w:cs="宋体"/>
                <w:b w:val="0"/>
                <w:bCs w:val="0"/>
                <w:color w:val="auto"/>
                <w:kern w:val="2"/>
                <w:sz w:val="24"/>
                <w:szCs w:val="24"/>
                <w:lang w:val="en-US" w:eastAsia="zh-CN" w:bidi="ar"/>
              </w:rPr>
              <w:t>并计算</w:t>
            </w:r>
            <w:r>
              <w:rPr>
                <w:rFonts w:hint="eastAsia" w:ascii="宋体" w:hAnsi="宋体" w:eastAsia="宋体" w:cs="宋体"/>
                <w:color w:val="auto"/>
                <w:kern w:val="2"/>
                <w:sz w:val="24"/>
                <w:szCs w:val="24"/>
                <w:lang w:val="en-US" w:eastAsia="zh-CN" w:bidi="ar"/>
              </w:rPr>
              <w:t>项目涉及具有爆炸性、可燃性的化学品的作业场所出现最大爆炸、火灾事故后产生的污水数量和最严重爆炸、火灾事故后产生的污水数量。</w:t>
            </w:r>
          </w:p>
        </w:tc>
        <w:tc>
          <w:tcPr>
            <w:tcW w:w="615" w:type="pct"/>
            <w:shd w:val="clear" w:color="auto" w:fill="auto"/>
            <w:tcMar>
              <w:top w:w="57" w:type="dxa"/>
              <w:left w:w="57" w:type="dxa"/>
              <w:bottom w:w="57" w:type="dxa"/>
              <w:right w:w="57" w:type="dxa"/>
            </w:tcMar>
            <w:vAlign w:val="center"/>
          </w:tcPr>
          <w:p w14:paraId="35BCC6A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A73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780D95B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20</w:t>
            </w:r>
          </w:p>
        </w:tc>
        <w:tc>
          <w:tcPr>
            <w:tcW w:w="514" w:type="pct"/>
            <w:shd w:val="clear" w:color="auto" w:fill="auto"/>
            <w:tcMar>
              <w:top w:w="57" w:type="dxa"/>
              <w:left w:w="57" w:type="dxa"/>
              <w:bottom w:w="57" w:type="dxa"/>
              <w:right w:w="57" w:type="dxa"/>
            </w:tcMar>
            <w:vAlign w:val="center"/>
          </w:tcPr>
          <w:p w14:paraId="23D2CE1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HAZOP</w:t>
            </w:r>
          </w:p>
          <w:p w14:paraId="3AFAB4B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分析</w:t>
            </w:r>
          </w:p>
        </w:tc>
        <w:tc>
          <w:tcPr>
            <w:tcW w:w="3519" w:type="pct"/>
            <w:gridSpan w:val="3"/>
            <w:shd w:val="clear" w:color="auto" w:fill="auto"/>
            <w:tcMar>
              <w:top w:w="57" w:type="dxa"/>
              <w:left w:w="57" w:type="dxa"/>
              <w:bottom w:w="57" w:type="dxa"/>
              <w:right w:w="57" w:type="dxa"/>
            </w:tcMar>
            <w:vAlign w:val="center"/>
          </w:tcPr>
          <w:p w14:paraId="7B13574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39</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根据设计过程开展的危险与可操作性（</w:t>
            </w:r>
            <w:r>
              <w:rPr>
                <w:rFonts w:hint="default" w:ascii="Times New Roman" w:hAnsi="Times New Roman" w:eastAsia="宋体" w:cs="Times New Roman"/>
                <w:b/>
                <w:bCs/>
                <w:color w:val="auto"/>
                <w:kern w:val="2"/>
                <w:sz w:val="24"/>
                <w:szCs w:val="24"/>
                <w:lang w:val="en-US" w:eastAsia="zh-CN" w:bidi="ar"/>
              </w:rPr>
              <w:t>HAZOP</w:t>
            </w:r>
            <w:r>
              <w:rPr>
                <w:rFonts w:hint="eastAsia" w:ascii="宋体" w:hAnsi="宋体" w:eastAsia="宋体" w:cs="宋体"/>
                <w:b/>
                <w:bCs/>
                <w:color w:val="auto"/>
                <w:kern w:val="2"/>
                <w:sz w:val="24"/>
                <w:szCs w:val="24"/>
                <w:lang w:val="en-US" w:eastAsia="zh-CN" w:bidi="ar"/>
              </w:rPr>
              <w:t>）研究或其他安全风险分析，对事故后果严重程度分级，列表说明主要分析结果（含原始风险、现有风险、剩余风险）及对安全设施设计的指导。</w:t>
            </w:r>
          </w:p>
        </w:tc>
        <w:tc>
          <w:tcPr>
            <w:tcW w:w="615" w:type="pct"/>
            <w:shd w:val="clear" w:color="auto" w:fill="auto"/>
            <w:tcMar>
              <w:top w:w="57" w:type="dxa"/>
              <w:left w:w="57" w:type="dxa"/>
              <w:bottom w:w="57" w:type="dxa"/>
              <w:right w:w="57" w:type="dxa"/>
            </w:tcMar>
            <w:vAlign w:val="center"/>
          </w:tcPr>
          <w:p w14:paraId="329B38D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04C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shd w:val="clear" w:color="auto" w:fill="auto"/>
            <w:tcMar>
              <w:top w:w="57" w:type="dxa"/>
              <w:left w:w="57" w:type="dxa"/>
              <w:bottom w:w="57" w:type="dxa"/>
              <w:right w:w="57" w:type="dxa"/>
            </w:tcMar>
            <w:vAlign w:val="center"/>
          </w:tcPr>
          <w:p w14:paraId="04C60E9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21</w:t>
            </w:r>
          </w:p>
        </w:tc>
        <w:tc>
          <w:tcPr>
            <w:tcW w:w="514" w:type="pct"/>
            <w:shd w:val="clear" w:color="auto" w:fill="auto"/>
            <w:tcMar>
              <w:top w:w="57" w:type="dxa"/>
              <w:left w:w="57" w:type="dxa"/>
              <w:bottom w:w="57" w:type="dxa"/>
              <w:right w:w="57" w:type="dxa"/>
            </w:tcMar>
            <w:vAlign w:val="center"/>
          </w:tcPr>
          <w:p w14:paraId="52E1BFC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SIL</w:t>
            </w:r>
            <w:r>
              <w:rPr>
                <w:rFonts w:hint="eastAsia" w:ascii="宋体" w:hAnsi="宋体" w:eastAsia="宋体" w:cs="宋体"/>
                <w:color w:val="auto"/>
                <w:kern w:val="2"/>
                <w:sz w:val="24"/>
                <w:szCs w:val="24"/>
                <w:lang w:val="en-US" w:eastAsia="zh-CN" w:bidi="ar"/>
              </w:rPr>
              <w:t>等级评估</w:t>
            </w:r>
          </w:p>
          <w:p w14:paraId="3B746D9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分析</w:t>
            </w:r>
          </w:p>
        </w:tc>
        <w:tc>
          <w:tcPr>
            <w:tcW w:w="3519" w:type="pct"/>
            <w:gridSpan w:val="3"/>
            <w:shd w:val="clear" w:color="auto" w:fill="auto"/>
            <w:tcMar>
              <w:top w:w="57" w:type="dxa"/>
              <w:left w:w="57" w:type="dxa"/>
              <w:bottom w:w="57" w:type="dxa"/>
              <w:right w:w="57" w:type="dxa"/>
            </w:tcMar>
            <w:vAlign w:val="center"/>
          </w:tcPr>
          <w:p w14:paraId="421A688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40</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根据危险与风险分析（如</w:t>
            </w:r>
            <w:r>
              <w:rPr>
                <w:rFonts w:hint="default" w:ascii="Times New Roman" w:hAnsi="Times New Roman" w:eastAsia="宋体" w:cs="Times New Roman"/>
                <w:b/>
                <w:bCs/>
                <w:color w:val="auto"/>
                <w:kern w:val="2"/>
                <w:sz w:val="24"/>
                <w:szCs w:val="24"/>
                <w:lang w:val="en-US" w:eastAsia="zh-CN" w:bidi="ar"/>
              </w:rPr>
              <w:t>HAZOP</w:t>
            </w:r>
            <w:r>
              <w:rPr>
                <w:rFonts w:hint="eastAsia" w:ascii="宋体" w:hAnsi="宋体" w:eastAsia="宋体" w:cs="宋体"/>
                <w:b/>
                <w:bCs/>
                <w:color w:val="auto"/>
                <w:kern w:val="2"/>
                <w:sz w:val="24"/>
                <w:szCs w:val="24"/>
                <w:lang w:val="en-US" w:eastAsia="zh-CN" w:bidi="ar"/>
              </w:rPr>
              <w:t>）报告识别出高风险点或重要控制点，开展保护层分析（</w:t>
            </w:r>
            <w:r>
              <w:rPr>
                <w:rFonts w:hint="default" w:ascii="Times New Roman" w:hAnsi="Times New Roman" w:eastAsia="宋体" w:cs="Times New Roman"/>
                <w:b/>
                <w:bCs/>
                <w:color w:val="auto"/>
                <w:kern w:val="2"/>
                <w:sz w:val="24"/>
                <w:szCs w:val="24"/>
                <w:lang w:val="en-US" w:eastAsia="zh-CN" w:bidi="ar"/>
              </w:rPr>
              <w:t>LOPA</w:t>
            </w:r>
            <w:r>
              <w:rPr>
                <w:rFonts w:hint="eastAsia" w:ascii="宋体" w:hAnsi="宋体" w:eastAsia="宋体" w:cs="宋体"/>
                <w:b/>
                <w:bCs/>
                <w:color w:val="auto"/>
                <w:kern w:val="2"/>
                <w:sz w:val="24"/>
                <w:szCs w:val="24"/>
                <w:lang w:val="en-US" w:eastAsia="zh-CN" w:bidi="ar"/>
              </w:rPr>
              <w:t>），确定安全仪表功能（</w:t>
            </w:r>
            <w:r>
              <w:rPr>
                <w:rFonts w:hint="default" w:ascii="Times New Roman" w:hAnsi="Times New Roman" w:eastAsia="宋体" w:cs="Times New Roman"/>
                <w:b/>
                <w:bCs/>
                <w:color w:val="auto"/>
                <w:kern w:val="2"/>
                <w:sz w:val="24"/>
                <w:szCs w:val="24"/>
                <w:lang w:val="en-US" w:eastAsia="zh-CN" w:bidi="ar"/>
              </w:rPr>
              <w:t>S</w:t>
            </w:r>
            <w:r>
              <w:rPr>
                <w:rFonts w:hint="eastAsia" w:ascii="Times New Roman" w:hAnsi="Times New Roman" w:cs="Times New Roman"/>
                <w:b/>
                <w:bCs/>
                <w:color w:val="auto"/>
                <w:kern w:val="2"/>
                <w:sz w:val="24"/>
                <w:szCs w:val="24"/>
                <w:lang w:val="en-US" w:eastAsia="zh-CN" w:bidi="ar"/>
              </w:rPr>
              <w:t>I</w:t>
            </w:r>
            <w:r>
              <w:rPr>
                <w:rFonts w:hint="default" w:ascii="Times New Roman" w:hAnsi="Times New Roman" w:eastAsia="宋体" w:cs="Times New Roman"/>
                <w:b/>
                <w:bCs/>
                <w:color w:val="auto"/>
                <w:kern w:val="2"/>
                <w:sz w:val="24"/>
                <w:szCs w:val="24"/>
                <w:lang w:val="en-US" w:eastAsia="zh-CN" w:bidi="ar"/>
              </w:rPr>
              <w:t>F</w:t>
            </w:r>
            <w:r>
              <w:rPr>
                <w:rFonts w:hint="eastAsia" w:ascii="宋体" w:hAnsi="宋体" w:eastAsia="宋体" w:cs="宋体"/>
                <w:b/>
                <w:bCs/>
                <w:color w:val="auto"/>
                <w:kern w:val="2"/>
                <w:sz w:val="24"/>
                <w:szCs w:val="24"/>
                <w:lang w:val="en-US" w:eastAsia="zh-CN" w:bidi="ar"/>
              </w:rPr>
              <w:t>）的功能性要求并列表说明需要的安全完整性等级（</w:t>
            </w:r>
            <w:r>
              <w:rPr>
                <w:rFonts w:hint="default" w:ascii="Times New Roman" w:hAnsi="Times New Roman" w:eastAsia="宋体" w:cs="Times New Roman"/>
                <w:b/>
                <w:bCs/>
                <w:color w:val="auto"/>
                <w:kern w:val="2"/>
                <w:sz w:val="24"/>
                <w:szCs w:val="24"/>
                <w:lang w:val="en-US" w:eastAsia="zh-CN" w:bidi="ar"/>
              </w:rPr>
              <w:t>SIL</w:t>
            </w:r>
            <w:r>
              <w:rPr>
                <w:rFonts w:hint="eastAsia" w:ascii="宋体" w:hAnsi="宋体" w:eastAsia="宋体" w:cs="宋体"/>
                <w:b/>
                <w:bCs/>
                <w:color w:val="auto"/>
                <w:kern w:val="2"/>
                <w:sz w:val="24"/>
                <w:szCs w:val="24"/>
                <w:lang w:val="en-US" w:eastAsia="zh-CN" w:bidi="ar"/>
              </w:rPr>
              <w:t>），说明对设施设计的指导。</w:t>
            </w:r>
          </w:p>
        </w:tc>
        <w:tc>
          <w:tcPr>
            <w:tcW w:w="615" w:type="pct"/>
            <w:shd w:val="clear" w:color="auto" w:fill="auto"/>
            <w:tcMar>
              <w:top w:w="57" w:type="dxa"/>
              <w:left w:w="57" w:type="dxa"/>
              <w:bottom w:w="57" w:type="dxa"/>
              <w:right w:w="57" w:type="dxa"/>
            </w:tcMar>
            <w:vAlign w:val="center"/>
          </w:tcPr>
          <w:p w14:paraId="3960376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1BA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5000" w:type="pct"/>
            <w:gridSpan w:val="6"/>
            <w:shd w:val="clear" w:color="auto" w:fill="auto"/>
            <w:tcMar>
              <w:top w:w="57" w:type="dxa"/>
              <w:left w:w="57" w:type="dxa"/>
              <w:bottom w:w="57" w:type="dxa"/>
              <w:right w:w="57" w:type="dxa"/>
            </w:tcMar>
            <w:vAlign w:val="center"/>
          </w:tcPr>
          <w:p w14:paraId="7AA6804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五、安全设施设计</w:t>
            </w:r>
          </w:p>
        </w:tc>
      </w:tr>
      <w:tr w14:paraId="7274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5827770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22</w:t>
            </w:r>
          </w:p>
        </w:tc>
        <w:tc>
          <w:tcPr>
            <w:tcW w:w="514" w:type="pct"/>
            <w:vMerge w:val="restart"/>
            <w:shd w:val="clear" w:color="auto" w:fill="auto"/>
            <w:tcMar>
              <w:top w:w="57" w:type="dxa"/>
              <w:left w:w="57" w:type="dxa"/>
              <w:bottom w:w="57" w:type="dxa"/>
              <w:right w:w="57" w:type="dxa"/>
            </w:tcMar>
            <w:vAlign w:val="center"/>
          </w:tcPr>
          <w:p w14:paraId="4D74F3F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工艺</w:t>
            </w:r>
          </w:p>
          <w:p w14:paraId="7FB667D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系统</w:t>
            </w:r>
          </w:p>
        </w:tc>
        <w:tc>
          <w:tcPr>
            <w:tcW w:w="3519" w:type="pct"/>
            <w:gridSpan w:val="3"/>
            <w:shd w:val="clear" w:color="auto" w:fill="auto"/>
            <w:tcMar>
              <w:top w:w="57" w:type="dxa"/>
              <w:left w:w="57" w:type="dxa"/>
              <w:bottom w:w="57" w:type="dxa"/>
              <w:right w:w="57" w:type="dxa"/>
            </w:tcMar>
            <w:vAlign w:val="center"/>
          </w:tcPr>
          <w:p w14:paraId="0A60B1E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41</w:t>
            </w:r>
            <w:r>
              <w:rPr>
                <w:rFonts w:hint="eastAsia" w:ascii="宋体" w:hAnsi="宋体" w:eastAsia="宋体" w:cs="宋体"/>
                <w:color w:val="auto"/>
                <w:kern w:val="2"/>
                <w:sz w:val="24"/>
                <w:szCs w:val="24"/>
                <w:lang w:val="en-US" w:eastAsia="zh-CN" w:bidi="ar"/>
              </w:rPr>
              <w:t>）根据项目</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两重点一重大</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的辨识结果，列表说明重点监管的危险化工艺和危险化学品、重大危险源的重点监控工艺参数、控制方案，及与设计相关的安全措施。</w:t>
            </w:r>
          </w:p>
          <w:p w14:paraId="6E65511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尤其是涉及硝化、氯化、氟化、重氮化、过氧化五类高危工艺精细化工装置，应说明上下游配套装置全流程自动化控制设置情况，反应工艺危险度为</w:t>
            </w:r>
            <w:r>
              <w:rPr>
                <w:rFonts w:hint="default" w:ascii="Times New Roman" w:hAnsi="Times New Roman" w:eastAsia="宋体" w:cs="Times New Roman"/>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级及以上化工工艺；硝酸铵、硝基胍、氯酸铵、氯酸钾、氯酸钠等的</w:t>
            </w:r>
            <w:r>
              <w:rPr>
                <w:rFonts w:hint="eastAsia" w:ascii="宋体" w:hAnsi="宋体" w:eastAsia="宋体" w:cs="宋体"/>
                <w:color w:val="auto"/>
                <w:kern w:val="2"/>
                <w:sz w:val="24"/>
                <w:szCs w:val="24"/>
                <w:lang w:val="en-US" w:eastAsia="zh-CN" w:bidi="ar"/>
              </w:rPr>
              <w:t>。</w:t>
            </w:r>
          </w:p>
          <w:p w14:paraId="40722FB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当</w:t>
            </w:r>
            <w:r>
              <w:rPr>
                <w:rFonts w:hint="eastAsia" w:ascii="宋体" w:hAnsi="宋体" w:eastAsia="宋体" w:cs="宋体"/>
                <w:color w:val="auto"/>
                <w:kern w:val="2"/>
                <w:sz w:val="24"/>
                <w:szCs w:val="24"/>
                <w:lang w:val="en-US" w:eastAsia="zh-CN" w:bidi="ar"/>
              </w:rPr>
              <w:t>采用重点监管危险化工工艺规定的安全设施不适用时，需要说明理由及采取的其他安全设施。</w:t>
            </w:r>
          </w:p>
        </w:tc>
        <w:tc>
          <w:tcPr>
            <w:tcW w:w="615" w:type="pct"/>
            <w:shd w:val="clear" w:color="auto" w:fill="auto"/>
            <w:tcMar>
              <w:top w:w="57" w:type="dxa"/>
              <w:left w:w="57" w:type="dxa"/>
              <w:bottom w:w="57" w:type="dxa"/>
              <w:right w:w="57" w:type="dxa"/>
            </w:tcMar>
            <w:vAlign w:val="center"/>
          </w:tcPr>
          <w:p w14:paraId="3E75E49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094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1137E94">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75DECF0">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top"/>
          </w:tcPr>
          <w:p w14:paraId="5A61F0F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42</w:t>
            </w:r>
            <w:r>
              <w:rPr>
                <w:rFonts w:hint="eastAsia" w:ascii="宋体" w:hAnsi="宋体" w:eastAsia="宋体" w:cs="宋体"/>
                <w:color w:val="auto"/>
                <w:kern w:val="2"/>
                <w:sz w:val="24"/>
                <w:szCs w:val="24"/>
                <w:lang w:val="en-US" w:eastAsia="zh-CN" w:bidi="ar"/>
              </w:rPr>
              <w:t>）说明工艺过程采用的防泄漏、防火、防爆、防尘、防毒、防腐蚀等安全设施</w:t>
            </w:r>
            <w:r>
              <w:rPr>
                <w:rFonts w:hint="eastAsia" w:ascii="宋体" w:hAnsi="宋体" w:cs="宋体"/>
                <w:color w:val="auto"/>
                <w:kern w:val="2"/>
                <w:sz w:val="24"/>
                <w:szCs w:val="24"/>
                <w:lang w:val="en-US" w:eastAsia="zh-CN" w:bidi="ar"/>
              </w:rPr>
              <w:t>（41项已说明不再重复）</w:t>
            </w:r>
            <w:r>
              <w:rPr>
                <w:rFonts w:hint="eastAsia" w:ascii="宋体" w:hAnsi="宋体" w:eastAsia="宋体" w:cs="宋体"/>
                <w:color w:val="auto"/>
                <w:kern w:val="2"/>
                <w:sz w:val="24"/>
                <w:szCs w:val="24"/>
                <w:lang w:val="en-US" w:eastAsia="zh-CN" w:bidi="ar"/>
              </w:rPr>
              <w:t>。</w:t>
            </w:r>
          </w:p>
        </w:tc>
        <w:tc>
          <w:tcPr>
            <w:tcW w:w="615" w:type="pct"/>
            <w:shd w:val="clear" w:color="auto" w:fill="auto"/>
            <w:tcMar>
              <w:top w:w="57" w:type="dxa"/>
              <w:left w:w="57" w:type="dxa"/>
              <w:bottom w:w="57" w:type="dxa"/>
              <w:right w:w="57" w:type="dxa"/>
            </w:tcMar>
            <w:vAlign w:val="center"/>
          </w:tcPr>
          <w:p w14:paraId="3C67937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1F1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288BC64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EE61C5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62078D4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43</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应有正常工况与非正常工况（不包括开停车、检维修工程）下针对危险物料的安全控制措施（</w:t>
            </w:r>
            <w:r>
              <w:rPr>
                <w:rFonts w:hint="default" w:ascii="Times New Roman" w:hAnsi="Times New Roman" w:eastAsia="宋体" w:cs="Times New Roman"/>
                <w:b/>
                <w:bCs/>
                <w:color w:val="auto"/>
                <w:kern w:val="2"/>
                <w:sz w:val="24"/>
                <w:szCs w:val="24"/>
                <w:lang w:val="en-US" w:eastAsia="zh-CN" w:bidi="ar"/>
              </w:rPr>
              <w:t>4</w:t>
            </w:r>
            <w:r>
              <w:rPr>
                <w:rFonts w:hint="eastAsia" w:ascii="Times New Roman" w:hAnsi="Times New Roman" w:cs="Times New Roman"/>
                <w:b/>
                <w:bCs/>
                <w:color w:val="auto"/>
                <w:kern w:val="2"/>
                <w:sz w:val="24"/>
                <w:szCs w:val="24"/>
                <w:lang w:val="en-US" w:eastAsia="zh-CN" w:bidi="ar"/>
              </w:rPr>
              <w:t>1</w:t>
            </w:r>
            <w:r>
              <w:rPr>
                <w:rFonts w:hint="eastAsia" w:ascii="宋体" w:hAnsi="宋体" w:eastAsia="宋体" w:cs="宋体"/>
                <w:b/>
                <w:bCs/>
                <w:color w:val="auto"/>
                <w:kern w:val="2"/>
                <w:sz w:val="24"/>
                <w:szCs w:val="24"/>
                <w:lang w:val="en-US" w:eastAsia="zh-CN" w:bidi="ar"/>
              </w:rPr>
              <w:t>项已说明的</w:t>
            </w:r>
          </w:p>
          <w:p w14:paraId="5CFC8D4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不再重复）。正常工况下危险物料的安全控制措施（</w:t>
            </w:r>
            <w:r>
              <w:rPr>
                <w:rFonts w:hint="default" w:ascii="Times New Roman" w:hAnsi="Times New Roman" w:eastAsia="宋体" w:cs="Times New Roman"/>
                <w:b/>
                <w:bCs/>
                <w:color w:val="auto"/>
                <w:kern w:val="2"/>
                <w:sz w:val="24"/>
                <w:szCs w:val="24"/>
                <w:lang w:val="en-US" w:eastAsia="zh-CN" w:bidi="ar"/>
              </w:rPr>
              <w:t>BPCS</w:t>
            </w:r>
            <w:r>
              <w:rPr>
                <w:rFonts w:hint="eastAsia" w:ascii="宋体" w:hAnsi="宋体" w:eastAsia="宋体" w:cs="宋体"/>
                <w:b/>
                <w:bCs/>
                <w:color w:val="auto"/>
                <w:kern w:val="2"/>
                <w:sz w:val="24"/>
                <w:szCs w:val="24"/>
                <w:lang w:val="en-US" w:eastAsia="zh-CN" w:bidi="ar"/>
              </w:rPr>
              <w:t>），异常工况下危险物料安全控制措施包括但不限于联锁保护、紧急切断、紧急停车、紧急冷却、安全泄压、事故排放、投放终止剂、反应失控等措施。</w:t>
            </w:r>
          </w:p>
        </w:tc>
        <w:tc>
          <w:tcPr>
            <w:tcW w:w="615" w:type="pct"/>
            <w:shd w:val="clear" w:color="auto" w:fill="auto"/>
            <w:tcMar>
              <w:top w:w="57" w:type="dxa"/>
              <w:left w:w="57" w:type="dxa"/>
              <w:bottom w:w="57" w:type="dxa"/>
              <w:right w:w="57" w:type="dxa"/>
            </w:tcMar>
            <w:vAlign w:val="center"/>
          </w:tcPr>
          <w:p w14:paraId="66CE774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C4F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010CC51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6F3105E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CD2F68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44</w:t>
            </w:r>
            <w:r>
              <w:rPr>
                <w:rFonts w:hint="eastAsia" w:ascii="宋体" w:hAnsi="宋体" w:eastAsia="宋体" w:cs="宋体"/>
                <w:color w:val="auto"/>
                <w:kern w:val="2"/>
                <w:sz w:val="24"/>
                <w:szCs w:val="24"/>
                <w:lang w:val="en-US" w:eastAsia="zh-CN" w:bidi="ar"/>
              </w:rPr>
              <w:t>）火炬和安全泄放系统的设计符合有关规范要求。对不应该排入火炬系统的物质，应按照标准要求设计专用的泄放系统。说明采用的火炬类别、火炬最大排放量、火炬设计量、火炬高度、热辐射范围、防回火措施。</w:t>
            </w:r>
          </w:p>
        </w:tc>
        <w:tc>
          <w:tcPr>
            <w:tcW w:w="615" w:type="pct"/>
            <w:shd w:val="clear" w:color="auto" w:fill="auto"/>
            <w:tcMar>
              <w:top w:w="57" w:type="dxa"/>
              <w:left w:w="57" w:type="dxa"/>
              <w:bottom w:w="57" w:type="dxa"/>
              <w:right w:w="57" w:type="dxa"/>
            </w:tcMar>
            <w:vAlign w:val="center"/>
          </w:tcPr>
          <w:p w14:paraId="099C323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758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74EDB1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1E11F4B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66DA6DD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45</w:t>
            </w:r>
            <w:r>
              <w:rPr>
                <w:rFonts w:hint="eastAsia" w:ascii="宋体" w:hAnsi="宋体" w:eastAsia="宋体" w:cs="宋体"/>
                <w:color w:val="auto"/>
                <w:kern w:val="2"/>
                <w:sz w:val="24"/>
                <w:szCs w:val="24"/>
                <w:lang w:val="en-US" w:eastAsia="zh-CN" w:bidi="ar"/>
              </w:rPr>
              <w:t>）应提供有毒有害气体的排气处理设施以及废气、废液焚烧系统的安全措施。</w:t>
            </w:r>
          </w:p>
        </w:tc>
        <w:tc>
          <w:tcPr>
            <w:tcW w:w="615" w:type="pct"/>
            <w:shd w:val="clear" w:color="auto" w:fill="auto"/>
            <w:tcMar>
              <w:top w:w="57" w:type="dxa"/>
              <w:left w:w="57" w:type="dxa"/>
              <w:bottom w:w="57" w:type="dxa"/>
              <w:right w:w="57" w:type="dxa"/>
            </w:tcMar>
            <w:vAlign w:val="center"/>
          </w:tcPr>
          <w:p w14:paraId="6A32B74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DF4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0378B00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23</w:t>
            </w:r>
          </w:p>
        </w:tc>
        <w:tc>
          <w:tcPr>
            <w:tcW w:w="514" w:type="pct"/>
            <w:vMerge w:val="restart"/>
            <w:shd w:val="clear" w:color="auto" w:fill="auto"/>
            <w:tcMar>
              <w:top w:w="57" w:type="dxa"/>
              <w:left w:w="57" w:type="dxa"/>
              <w:bottom w:w="57" w:type="dxa"/>
              <w:right w:w="57" w:type="dxa"/>
            </w:tcMar>
            <w:vAlign w:val="center"/>
          </w:tcPr>
          <w:p w14:paraId="1178361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总平面</w:t>
            </w:r>
          </w:p>
          <w:p w14:paraId="6B85734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布置</w:t>
            </w:r>
          </w:p>
        </w:tc>
        <w:tc>
          <w:tcPr>
            <w:tcW w:w="3519" w:type="pct"/>
            <w:gridSpan w:val="3"/>
            <w:shd w:val="clear" w:color="auto" w:fill="auto"/>
            <w:tcMar>
              <w:top w:w="57" w:type="dxa"/>
              <w:left w:w="57" w:type="dxa"/>
              <w:bottom w:w="57" w:type="dxa"/>
              <w:right w:w="57" w:type="dxa"/>
            </w:tcMar>
            <w:vAlign w:val="center"/>
          </w:tcPr>
          <w:p w14:paraId="00E046E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46</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建设项目与厂</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界外设施的主要间距、标准规范符合性</w:t>
            </w:r>
            <w:r>
              <w:rPr>
                <w:rFonts w:hint="eastAsia" w:ascii="宋体" w:hAnsi="宋体" w:eastAsia="宋体" w:cs="宋体"/>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列出外部安全防护距离表：外部安全防护距离表中涉及</w:t>
            </w:r>
            <w:r>
              <w:rPr>
                <w:rFonts w:hint="default" w:ascii="Times New Roman" w:hAnsi="Times New Roman" w:eastAsia="宋体" w:cs="Times New Roman"/>
                <w:b/>
                <w:bCs/>
                <w:color w:val="auto"/>
                <w:kern w:val="2"/>
                <w:sz w:val="24"/>
                <w:szCs w:val="24"/>
                <w:lang w:val="en-US" w:eastAsia="zh-CN" w:bidi="ar"/>
              </w:rPr>
              <w:t>VCE</w:t>
            </w:r>
            <w:r>
              <w:rPr>
                <w:rFonts w:hint="eastAsia" w:ascii="宋体" w:hAnsi="宋体" w:eastAsia="宋体" w:cs="宋体"/>
                <w:b/>
                <w:bCs/>
                <w:color w:val="auto"/>
                <w:kern w:val="2"/>
                <w:sz w:val="24"/>
                <w:szCs w:val="24"/>
                <w:lang w:val="en-US" w:eastAsia="zh-CN" w:bidi="ar"/>
              </w:rPr>
              <w:t>爆炸危险源、高毒气体泄漏源（如：氨、氯气、硫化氢、一氧化碳等）的，需明确介质泄漏源与周边居民区</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安全防护距离</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是否满足防护要求，间距表中数据需明确计算值、现场实测距离等信息；</w:t>
            </w:r>
          </w:p>
          <w:p w14:paraId="03DA508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当基础设计阶段外部安全防护距离计算输入条件较安全条件审查阶段发生变更时，建设单位应重新组织开展外部安全防护距离计算。</w:t>
            </w:r>
          </w:p>
        </w:tc>
        <w:tc>
          <w:tcPr>
            <w:tcW w:w="615" w:type="pct"/>
            <w:shd w:val="clear" w:color="auto" w:fill="auto"/>
            <w:tcMar>
              <w:top w:w="57" w:type="dxa"/>
              <w:left w:w="57" w:type="dxa"/>
              <w:bottom w:w="57" w:type="dxa"/>
              <w:right w:w="57" w:type="dxa"/>
            </w:tcMar>
            <w:vAlign w:val="center"/>
          </w:tcPr>
          <w:p w14:paraId="71BC724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E804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4BE76DD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7784971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47AB74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47</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总平面布置：功能分区设置合理（如：生产及行政管理设施区硬隔离、工艺装置区、液体储罐区、仓储区、公用工程辅助设施区、火炬设施区）；风速、风向等是否满足规范要求；</w:t>
            </w:r>
          </w:p>
          <w:p w14:paraId="68D2432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竖向布置：建（构）筑物、道路、场地采用设计标高表示；厂内管廊桥架以及消防道路宽度、纵向坡度、转弯半径、净空等应满足相关规范要求。</w:t>
            </w:r>
          </w:p>
        </w:tc>
        <w:tc>
          <w:tcPr>
            <w:tcW w:w="615" w:type="pct"/>
            <w:shd w:val="clear" w:color="auto" w:fill="auto"/>
            <w:tcMar>
              <w:top w:w="57" w:type="dxa"/>
              <w:left w:w="57" w:type="dxa"/>
              <w:bottom w:w="57" w:type="dxa"/>
              <w:right w:w="57" w:type="dxa"/>
            </w:tcMar>
            <w:vAlign w:val="center"/>
          </w:tcPr>
          <w:p w14:paraId="197E666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B62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0593EE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60D0A4F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39D41D1">
            <w:pPr>
              <w:pStyle w:val="13"/>
              <w:keepNext w:val="0"/>
              <w:keepLines w:val="0"/>
              <w:pageBreakBefore w:val="0"/>
              <w:widowControl w:val="0"/>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0"/>
                <w:sz w:val="24"/>
                <w:szCs w:val="24"/>
                <w:shd w:val="clear" w:fill="FFFFFF"/>
              </w:rPr>
            </w:pPr>
            <w:r>
              <w:rPr>
                <w:rFonts w:hint="eastAsia" w:ascii="宋体" w:hAnsi="宋体" w:eastAsia="宋体" w:cs="宋体"/>
                <w:b/>
                <w:bCs/>
                <w:color w:val="auto"/>
                <w:kern w:val="2"/>
                <w:sz w:val="24"/>
                <w:szCs w:val="24"/>
                <w:shd w:val="clear" w:fill="FFFFFF"/>
                <w:lang w:val="en-US" w:eastAsia="zh-CN" w:bidi="ar"/>
              </w:rPr>
              <w:t>（</w:t>
            </w:r>
            <w:r>
              <w:rPr>
                <w:rFonts w:hint="default" w:ascii="Times New Roman" w:hAnsi="Times New Roman" w:eastAsia="宋体" w:cs="Times New Roman"/>
                <w:b/>
                <w:bCs/>
                <w:color w:val="auto"/>
                <w:kern w:val="2"/>
                <w:sz w:val="24"/>
                <w:szCs w:val="24"/>
                <w:shd w:val="clear" w:fill="FFFFFF"/>
                <w:lang w:val="en-US" w:eastAsia="zh-CN" w:bidi="ar"/>
              </w:rPr>
              <w:t>48</w:t>
            </w:r>
            <w:r>
              <w:rPr>
                <w:rFonts w:hint="eastAsia" w:ascii="宋体" w:hAnsi="宋体" w:eastAsia="宋体" w:cs="宋体"/>
                <w:b/>
                <w:bCs/>
                <w:color w:val="auto"/>
                <w:kern w:val="2"/>
                <w:sz w:val="24"/>
                <w:szCs w:val="24"/>
                <w:shd w:val="clear" w:fill="FFFFFF"/>
                <w:lang w:val="en-US" w:eastAsia="zh-CN" w:bidi="ar"/>
              </w:rPr>
              <w:t>）</w:t>
            </w:r>
            <w:r>
              <w:rPr>
                <w:rFonts w:hint="default" w:ascii="Times New Roman" w:hAnsi="Times New Roman" w:eastAsia="宋体" w:cs="Times New Roman"/>
                <w:b/>
                <w:bCs/>
                <w:color w:val="auto"/>
                <w:kern w:val="2"/>
                <w:sz w:val="24"/>
                <w:szCs w:val="24"/>
                <w:shd w:val="clear" w:fill="FFFFFF"/>
                <w:lang w:val="en-US" w:eastAsia="zh-CN" w:bidi="ar"/>
              </w:rPr>
              <w:t>*</w:t>
            </w:r>
            <w:r>
              <w:rPr>
                <w:rFonts w:hint="eastAsia" w:ascii="宋体" w:hAnsi="宋体" w:eastAsia="宋体" w:cs="宋体"/>
                <w:b/>
                <w:bCs/>
                <w:color w:val="auto"/>
                <w:kern w:val="2"/>
                <w:sz w:val="24"/>
                <w:szCs w:val="24"/>
                <w:shd w:val="clear" w:fill="FFFFFF"/>
                <w:lang w:val="en-US" w:eastAsia="zh-CN" w:bidi="ar"/>
              </w:rPr>
              <w:t>文本应</w:t>
            </w:r>
            <w:r>
              <w:rPr>
                <w:rFonts w:hint="eastAsia" w:ascii="宋体" w:hAnsi="宋体" w:eastAsia="宋体" w:cs="宋体"/>
                <w:b/>
                <w:bCs/>
                <w:color w:val="auto"/>
                <w:kern w:val="0"/>
                <w:sz w:val="24"/>
                <w:szCs w:val="24"/>
                <w:shd w:val="clear" w:fill="FFFFFF"/>
                <w:lang w:val="en-US" w:eastAsia="zh-CN" w:bidi="ar"/>
              </w:rPr>
              <w:t>包含</w:t>
            </w:r>
            <w:r>
              <w:rPr>
                <w:rFonts w:hint="default" w:ascii="Times New Roman" w:hAnsi="Times New Roman" w:eastAsia="宋体" w:cs="Times New Roman"/>
                <w:b/>
                <w:bCs/>
                <w:color w:val="auto"/>
                <w:kern w:val="0"/>
                <w:sz w:val="24"/>
                <w:szCs w:val="24"/>
                <w:shd w:val="clear" w:fill="FFFFFF"/>
                <w:lang w:val="en-US" w:eastAsia="zh-CN" w:bidi="ar"/>
              </w:rPr>
              <w:t>“</w:t>
            </w:r>
            <w:r>
              <w:rPr>
                <w:rFonts w:hint="eastAsia" w:ascii="宋体" w:hAnsi="宋体" w:eastAsia="宋体" w:cs="宋体"/>
                <w:b/>
                <w:bCs/>
                <w:color w:val="auto"/>
                <w:kern w:val="0"/>
                <w:sz w:val="24"/>
                <w:szCs w:val="24"/>
                <w:shd w:val="clear" w:fill="FFFFFF"/>
                <w:lang w:val="en-US" w:eastAsia="zh-CN" w:bidi="ar"/>
              </w:rPr>
              <w:t>防火间距检查表</w:t>
            </w:r>
            <w:r>
              <w:rPr>
                <w:rFonts w:hint="default" w:ascii="Times New Roman" w:hAnsi="Times New Roman" w:eastAsia="宋体" w:cs="Times New Roman"/>
                <w:b/>
                <w:bCs/>
                <w:color w:val="auto"/>
                <w:kern w:val="0"/>
                <w:sz w:val="24"/>
                <w:szCs w:val="24"/>
                <w:shd w:val="clear" w:fill="FFFFFF"/>
                <w:lang w:val="en-US" w:eastAsia="zh-CN" w:bidi="ar"/>
              </w:rPr>
              <w:t>”</w:t>
            </w:r>
            <w:r>
              <w:rPr>
                <w:rFonts w:hint="eastAsia" w:ascii="宋体" w:hAnsi="宋体" w:eastAsia="宋体" w:cs="宋体"/>
                <w:b/>
                <w:bCs/>
                <w:color w:val="auto"/>
                <w:kern w:val="0"/>
                <w:sz w:val="24"/>
                <w:szCs w:val="24"/>
                <w:shd w:val="clear" w:fill="FFFFFF"/>
                <w:lang w:val="en-US" w:eastAsia="zh-CN" w:bidi="ar"/>
              </w:rPr>
              <w:t>（表中需含标准规范具体条款）；如：内部设施、外部设施防火间距表。</w:t>
            </w:r>
          </w:p>
        </w:tc>
        <w:tc>
          <w:tcPr>
            <w:tcW w:w="615" w:type="pct"/>
            <w:shd w:val="clear" w:color="auto" w:fill="auto"/>
            <w:tcMar>
              <w:top w:w="57" w:type="dxa"/>
              <w:left w:w="57" w:type="dxa"/>
              <w:bottom w:w="57" w:type="dxa"/>
              <w:right w:w="57" w:type="dxa"/>
            </w:tcMar>
            <w:vAlign w:val="center"/>
          </w:tcPr>
          <w:p w14:paraId="5C93FEC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ABB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49DF50E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6EB665F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253BAD2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49</w:t>
            </w:r>
            <w:r>
              <w:rPr>
                <w:rFonts w:hint="eastAsia" w:ascii="宋体" w:hAnsi="宋体" w:eastAsia="宋体" w:cs="宋体"/>
                <w:color w:val="auto"/>
                <w:kern w:val="2"/>
                <w:sz w:val="24"/>
                <w:szCs w:val="24"/>
                <w:lang w:val="en-US" w:eastAsia="zh-CN" w:bidi="ar"/>
              </w:rPr>
              <w:t>）可燃液体装卸设施与厂外道路（物流出入口）直接顺畅连接应合规；厂区出入口（货流出入口、人流出入口、安全疏散口等）、厂界围墙、厂内硬隔离设施是否设置合理。</w:t>
            </w:r>
          </w:p>
        </w:tc>
        <w:tc>
          <w:tcPr>
            <w:tcW w:w="615" w:type="pct"/>
            <w:shd w:val="clear" w:color="auto" w:fill="auto"/>
            <w:tcMar>
              <w:top w:w="57" w:type="dxa"/>
              <w:left w:w="57" w:type="dxa"/>
              <w:bottom w:w="57" w:type="dxa"/>
              <w:right w:w="57" w:type="dxa"/>
            </w:tcMar>
            <w:vAlign w:val="center"/>
          </w:tcPr>
          <w:p w14:paraId="42E1008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963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F77D53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3E3E35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31D1C2C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50</w:t>
            </w:r>
            <w:r>
              <w:rPr>
                <w:rFonts w:hint="eastAsia" w:ascii="宋体" w:hAnsi="宋体" w:eastAsia="宋体" w:cs="宋体"/>
                <w:b w:val="0"/>
                <w:bCs w:val="0"/>
                <w:color w:val="auto"/>
                <w:kern w:val="2"/>
                <w:sz w:val="24"/>
                <w:szCs w:val="24"/>
                <w:lang w:val="en-US" w:eastAsia="zh-CN" w:bidi="ar"/>
              </w:rPr>
              <w:t>）总平面布置图与安全条件审查时的总平面布置图有改动的，应说明变化情况和改动理由。</w:t>
            </w:r>
          </w:p>
        </w:tc>
        <w:tc>
          <w:tcPr>
            <w:tcW w:w="615" w:type="pct"/>
            <w:shd w:val="clear" w:color="auto" w:fill="auto"/>
            <w:tcMar>
              <w:top w:w="57" w:type="dxa"/>
              <w:left w:w="57" w:type="dxa"/>
              <w:bottom w:w="57" w:type="dxa"/>
              <w:right w:w="57" w:type="dxa"/>
            </w:tcMar>
            <w:vAlign w:val="center"/>
          </w:tcPr>
          <w:p w14:paraId="277A062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7B0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26ABB92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24</w:t>
            </w:r>
          </w:p>
        </w:tc>
        <w:tc>
          <w:tcPr>
            <w:tcW w:w="514" w:type="pct"/>
            <w:vMerge w:val="restart"/>
            <w:shd w:val="clear" w:color="auto" w:fill="auto"/>
            <w:tcMar>
              <w:top w:w="57" w:type="dxa"/>
              <w:left w:w="57" w:type="dxa"/>
              <w:bottom w:w="57" w:type="dxa"/>
              <w:right w:w="57" w:type="dxa"/>
            </w:tcMar>
            <w:vAlign w:val="center"/>
          </w:tcPr>
          <w:p w14:paraId="1E9B596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设备及</w:t>
            </w:r>
          </w:p>
          <w:p w14:paraId="71FDC29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管道</w:t>
            </w:r>
          </w:p>
        </w:tc>
        <w:tc>
          <w:tcPr>
            <w:tcW w:w="3519" w:type="pct"/>
            <w:gridSpan w:val="3"/>
            <w:shd w:val="clear" w:color="auto" w:fill="auto"/>
            <w:tcMar>
              <w:top w:w="57" w:type="dxa"/>
              <w:left w:w="57" w:type="dxa"/>
              <w:bottom w:w="57" w:type="dxa"/>
              <w:right w:w="57" w:type="dxa"/>
            </w:tcMar>
            <w:vAlign w:val="top"/>
          </w:tcPr>
          <w:p w14:paraId="434645E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51</w:t>
            </w:r>
            <w:r>
              <w:rPr>
                <w:rFonts w:hint="eastAsia" w:ascii="宋体" w:hAnsi="宋体" w:eastAsia="宋体" w:cs="宋体"/>
                <w:color w:val="auto"/>
                <w:kern w:val="2"/>
                <w:sz w:val="24"/>
                <w:szCs w:val="24"/>
                <w:lang w:val="en-US" w:eastAsia="zh-CN" w:bidi="ar"/>
              </w:rPr>
              <w:t>）压力容器、设备及管道设计要求符合国家法规及标准，包括进口压力容器、压力管道等应满足国家强制性规定；</w:t>
            </w:r>
          </w:p>
          <w:p w14:paraId="720A97C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安全阀、爆破片等安全附件设计应符合相关标准规范。</w:t>
            </w:r>
          </w:p>
        </w:tc>
        <w:tc>
          <w:tcPr>
            <w:tcW w:w="615" w:type="pct"/>
            <w:shd w:val="clear" w:color="auto" w:fill="auto"/>
            <w:tcMar>
              <w:top w:w="57" w:type="dxa"/>
              <w:left w:w="57" w:type="dxa"/>
              <w:bottom w:w="57" w:type="dxa"/>
              <w:right w:w="57" w:type="dxa"/>
            </w:tcMar>
            <w:vAlign w:val="center"/>
          </w:tcPr>
          <w:p w14:paraId="3FCA902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B1F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6B9CB72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50C3D854">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3B1044D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52</w:t>
            </w:r>
            <w:r>
              <w:rPr>
                <w:rFonts w:hint="eastAsia" w:ascii="宋体" w:hAnsi="宋体" w:eastAsia="宋体" w:cs="宋体"/>
                <w:color w:val="auto"/>
                <w:kern w:val="2"/>
                <w:sz w:val="24"/>
                <w:szCs w:val="24"/>
                <w:lang w:val="en-US" w:eastAsia="zh-CN" w:bidi="ar"/>
              </w:rPr>
              <w:t>）其他主要设备、管道材料的选型、材质和防护措施符合要求。</w:t>
            </w:r>
          </w:p>
        </w:tc>
        <w:tc>
          <w:tcPr>
            <w:tcW w:w="615" w:type="pct"/>
            <w:shd w:val="clear" w:color="auto" w:fill="auto"/>
            <w:tcMar>
              <w:top w:w="57" w:type="dxa"/>
              <w:left w:w="57" w:type="dxa"/>
              <w:bottom w:w="57" w:type="dxa"/>
              <w:right w:w="57" w:type="dxa"/>
            </w:tcMar>
            <w:vAlign w:val="center"/>
          </w:tcPr>
          <w:p w14:paraId="0411954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CEB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747AF97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48A85E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6A682B7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53</w:t>
            </w:r>
            <w:r>
              <w:rPr>
                <w:rFonts w:hint="eastAsia" w:ascii="宋体" w:hAnsi="宋体" w:eastAsia="宋体" w:cs="宋体"/>
                <w:color w:val="auto"/>
                <w:kern w:val="2"/>
                <w:sz w:val="24"/>
                <w:szCs w:val="24"/>
                <w:lang w:val="en-US" w:eastAsia="zh-CN" w:bidi="ar"/>
              </w:rPr>
              <w:t>）说明项目的其它特种设备设计与国家法规及标准的符合性。</w:t>
            </w:r>
          </w:p>
        </w:tc>
        <w:tc>
          <w:tcPr>
            <w:tcW w:w="615" w:type="pct"/>
            <w:shd w:val="clear" w:color="auto" w:fill="auto"/>
            <w:tcMar>
              <w:top w:w="57" w:type="dxa"/>
              <w:left w:w="57" w:type="dxa"/>
              <w:bottom w:w="57" w:type="dxa"/>
              <w:right w:w="57" w:type="dxa"/>
            </w:tcMar>
            <w:vAlign w:val="center"/>
          </w:tcPr>
          <w:p w14:paraId="5F9836D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498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4002B63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25</w:t>
            </w:r>
          </w:p>
        </w:tc>
        <w:tc>
          <w:tcPr>
            <w:tcW w:w="514" w:type="pct"/>
            <w:vMerge w:val="restart"/>
            <w:shd w:val="clear" w:color="auto" w:fill="auto"/>
            <w:tcMar>
              <w:top w:w="57" w:type="dxa"/>
              <w:left w:w="57" w:type="dxa"/>
              <w:bottom w:w="57" w:type="dxa"/>
              <w:right w:w="57" w:type="dxa"/>
            </w:tcMar>
            <w:vAlign w:val="center"/>
          </w:tcPr>
          <w:p w14:paraId="2FDD352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电气</w:t>
            </w:r>
          </w:p>
        </w:tc>
        <w:tc>
          <w:tcPr>
            <w:tcW w:w="3519" w:type="pct"/>
            <w:gridSpan w:val="3"/>
            <w:shd w:val="clear" w:color="auto" w:fill="auto"/>
            <w:tcMar>
              <w:top w:w="57" w:type="dxa"/>
              <w:left w:w="57" w:type="dxa"/>
              <w:bottom w:w="57" w:type="dxa"/>
              <w:right w:w="57" w:type="dxa"/>
            </w:tcMar>
            <w:vAlign w:val="center"/>
          </w:tcPr>
          <w:p w14:paraId="478AFBE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54</w:t>
            </w:r>
            <w:r>
              <w:rPr>
                <w:rFonts w:hint="eastAsia" w:ascii="宋体" w:hAnsi="宋体" w:eastAsia="宋体" w:cs="宋体"/>
                <w:color w:val="auto"/>
                <w:kern w:val="2"/>
                <w:sz w:val="24"/>
                <w:szCs w:val="24"/>
                <w:lang w:val="en-US" w:eastAsia="zh-CN" w:bidi="ar"/>
              </w:rPr>
              <w:t>）结合项目外部供电电源设置相应的供电电源、应急或备用电源，</w:t>
            </w:r>
          </w:p>
          <w:p w14:paraId="241D1D0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供电电源、电气负荷应分类汇总。一级负荷应由双重电源供电，特级负荷供电的还应另增设应急电源。严禁将其它负荷接入应急供电系统。自动化控制系统应设置不间断电源。</w:t>
            </w:r>
          </w:p>
          <w:p w14:paraId="3B27140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设备的供电电源的切换时间、应急电源与正常电源防止并行运行的措施、特殊要求下应急电源向正常电源转换短暂并列运行、同时供电的两回及以上线路中有一回路中断供电时等应满足要求，并有安全运行的措施。</w:t>
            </w:r>
          </w:p>
        </w:tc>
        <w:tc>
          <w:tcPr>
            <w:tcW w:w="615" w:type="pct"/>
            <w:shd w:val="clear" w:color="auto" w:fill="auto"/>
            <w:tcMar>
              <w:top w:w="57" w:type="dxa"/>
              <w:left w:w="57" w:type="dxa"/>
              <w:bottom w:w="57" w:type="dxa"/>
              <w:right w:w="57" w:type="dxa"/>
            </w:tcMar>
            <w:vAlign w:val="center"/>
          </w:tcPr>
          <w:p w14:paraId="3552BF8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36A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6F0CE7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B750D64">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F72ACD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55</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按照爆炸危险区域划分等级和腐蚀环境场所选择电气设备、仪表设备的防爆、防腐及防护等级。</w:t>
            </w:r>
          </w:p>
        </w:tc>
        <w:tc>
          <w:tcPr>
            <w:tcW w:w="615" w:type="pct"/>
            <w:shd w:val="clear" w:color="auto" w:fill="auto"/>
            <w:tcMar>
              <w:top w:w="57" w:type="dxa"/>
              <w:left w:w="57" w:type="dxa"/>
              <w:bottom w:w="57" w:type="dxa"/>
              <w:right w:w="57" w:type="dxa"/>
            </w:tcMar>
            <w:vAlign w:val="center"/>
          </w:tcPr>
          <w:p w14:paraId="3A28B0D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C16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0052BE3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1F1902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C341D1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56</w:t>
            </w:r>
            <w:r>
              <w:rPr>
                <w:rFonts w:hint="eastAsia" w:ascii="宋体" w:hAnsi="宋体" w:eastAsia="宋体" w:cs="宋体"/>
                <w:color w:val="auto"/>
                <w:kern w:val="2"/>
                <w:sz w:val="24"/>
                <w:szCs w:val="24"/>
                <w:lang w:val="en-US" w:eastAsia="zh-CN" w:bidi="ar"/>
              </w:rPr>
              <w:t>）按规范进行防雷、防静电设计，设置防雷接地保护系统。</w:t>
            </w:r>
          </w:p>
        </w:tc>
        <w:tc>
          <w:tcPr>
            <w:tcW w:w="615" w:type="pct"/>
            <w:shd w:val="clear" w:color="auto" w:fill="auto"/>
            <w:tcMar>
              <w:top w:w="57" w:type="dxa"/>
              <w:left w:w="57" w:type="dxa"/>
              <w:bottom w:w="57" w:type="dxa"/>
              <w:right w:w="57" w:type="dxa"/>
            </w:tcMar>
            <w:vAlign w:val="center"/>
          </w:tcPr>
          <w:p w14:paraId="164D324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E43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7BA0AAD0">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D97E92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54A133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57</w:t>
            </w:r>
            <w:r>
              <w:rPr>
                <w:rFonts w:hint="eastAsia" w:ascii="宋体" w:hAnsi="宋体" w:eastAsia="宋体" w:cs="宋体"/>
                <w:color w:val="auto"/>
                <w:kern w:val="2"/>
                <w:sz w:val="24"/>
                <w:szCs w:val="24"/>
                <w:lang w:val="en-US" w:eastAsia="zh-CN" w:bidi="ar"/>
              </w:rPr>
              <w:t>）说明火灾报警系统、电视监控系统、应急广播系统和无线通信系统，以及电信电缆选择和敷设路径。</w:t>
            </w:r>
          </w:p>
        </w:tc>
        <w:tc>
          <w:tcPr>
            <w:tcW w:w="615" w:type="pct"/>
            <w:shd w:val="clear" w:color="auto" w:fill="auto"/>
            <w:tcMar>
              <w:top w:w="57" w:type="dxa"/>
              <w:left w:w="57" w:type="dxa"/>
              <w:bottom w:w="57" w:type="dxa"/>
              <w:right w:w="57" w:type="dxa"/>
            </w:tcMar>
            <w:vAlign w:val="center"/>
          </w:tcPr>
          <w:p w14:paraId="216B1A0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24A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0C3A73E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721023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064E82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58</w:t>
            </w:r>
            <w:r>
              <w:rPr>
                <w:rFonts w:hint="eastAsia" w:ascii="宋体" w:hAnsi="宋体" w:eastAsia="宋体" w:cs="宋体"/>
                <w:color w:val="auto"/>
                <w:kern w:val="2"/>
                <w:sz w:val="24"/>
                <w:szCs w:val="24"/>
                <w:lang w:val="en-US" w:eastAsia="zh-CN" w:bidi="ar"/>
              </w:rPr>
              <w:t>）说明应急照明、消防备用照明和消防疏散照明的设置，以及电气电缆的选择和敷设路径。</w:t>
            </w:r>
          </w:p>
        </w:tc>
        <w:tc>
          <w:tcPr>
            <w:tcW w:w="615" w:type="pct"/>
            <w:shd w:val="clear" w:color="auto" w:fill="auto"/>
            <w:tcMar>
              <w:top w:w="57" w:type="dxa"/>
              <w:left w:w="57" w:type="dxa"/>
              <w:bottom w:w="57" w:type="dxa"/>
              <w:right w:w="57" w:type="dxa"/>
            </w:tcMar>
            <w:vAlign w:val="center"/>
          </w:tcPr>
          <w:p w14:paraId="68F57AE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B96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41A90CD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26</w:t>
            </w:r>
          </w:p>
        </w:tc>
        <w:tc>
          <w:tcPr>
            <w:tcW w:w="514" w:type="pct"/>
            <w:vMerge w:val="restart"/>
            <w:shd w:val="clear" w:color="auto" w:fill="auto"/>
            <w:tcMar>
              <w:top w:w="57" w:type="dxa"/>
              <w:left w:w="57" w:type="dxa"/>
              <w:bottom w:w="57" w:type="dxa"/>
              <w:right w:w="57" w:type="dxa"/>
            </w:tcMar>
            <w:vAlign w:val="center"/>
          </w:tcPr>
          <w:p w14:paraId="1916983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自控</w:t>
            </w:r>
          </w:p>
          <w:p w14:paraId="54278B4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仪表</w:t>
            </w:r>
          </w:p>
        </w:tc>
        <w:tc>
          <w:tcPr>
            <w:tcW w:w="3519" w:type="pct"/>
            <w:gridSpan w:val="3"/>
            <w:shd w:val="clear" w:color="auto" w:fill="auto"/>
            <w:tcMar>
              <w:top w:w="57" w:type="dxa"/>
              <w:left w:w="57" w:type="dxa"/>
              <w:bottom w:w="57" w:type="dxa"/>
              <w:right w:w="57" w:type="dxa"/>
            </w:tcMar>
            <w:vAlign w:val="center"/>
          </w:tcPr>
          <w:p w14:paraId="6C32ADA6">
            <w:pPr>
              <w:pStyle w:val="13"/>
              <w:keepNext w:val="0"/>
              <w:keepLines w:val="0"/>
              <w:pageBreakBefore w:val="0"/>
              <w:widowControl w:val="0"/>
              <w:suppressLineNumbers w:val="0"/>
              <w:kinsoku/>
              <w:wordWrap/>
              <w:topLinePunct w:val="0"/>
              <w:autoSpaceDE/>
              <w:autoSpaceDN/>
              <w:bidi w:val="0"/>
              <w:adjustRightInd w:val="0"/>
              <w:snapToGrid w:val="0"/>
              <w:spacing w:before="0" w:beforeAutospacing="0" w:after="0" w:afterAutospacing="0" w:line="280" w:lineRule="exact"/>
              <w:ind w:left="0" w:right="0" w:firstLine="0" w:firstLineChars="0"/>
              <w:jc w:val="both"/>
              <w:textAlignment w:val="baseline"/>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59</w:t>
            </w:r>
            <w:r>
              <w:rPr>
                <w:rFonts w:hint="eastAsia" w:ascii="宋体" w:hAnsi="宋体" w:eastAsia="宋体" w:cs="宋体"/>
                <w:color w:val="auto"/>
                <w:kern w:val="2"/>
                <w:sz w:val="24"/>
                <w:szCs w:val="24"/>
                <w:lang w:val="en-US" w:eastAsia="zh-CN" w:bidi="ar"/>
              </w:rPr>
              <w:t>）说明备用气源的设置及供气能力。</w:t>
            </w:r>
          </w:p>
        </w:tc>
        <w:tc>
          <w:tcPr>
            <w:tcW w:w="615" w:type="pct"/>
            <w:shd w:val="clear" w:color="auto" w:fill="auto"/>
            <w:tcMar>
              <w:top w:w="57" w:type="dxa"/>
              <w:left w:w="57" w:type="dxa"/>
              <w:bottom w:w="57" w:type="dxa"/>
              <w:right w:w="57" w:type="dxa"/>
            </w:tcMar>
            <w:vAlign w:val="center"/>
          </w:tcPr>
          <w:p w14:paraId="41947F8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2C8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272BFE5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0AFFE0F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8CE8B8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60</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说明</w:t>
            </w:r>
            <w:r>
              <w:rPr>
                <w:rFonts w:hint="default" w:ascii="Times New Roman" w:hAnsi="Times New Roman" w:eastAsia="宋体" w:cs="Times New Roman"/>
                <w:b/>
                <w:bCs/>
                <w:color w:val="auto"/>
                <w:kern w:val="2"/>
                <w:sz w:val="24"/>
                <w:szCs w:val="24"/>
                <w:lang w:val="en-US" w:eastAsia="zh-CN" w:bidi="ar"/>
              </w:rPr>
              <w:t>DCS</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PLC</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SIS</w:t>
            </w:r>
            <w:r>
              <w:rPr>
                <w:rFonts w:hint="eastAsia" w:ascii="宋体" w:hAnsi="宋体" w:eastAsia="宋体" w:cs="宋体"/>
                <w:b/>
                <w:bCs/>
                <w:color w:val="auto"/>
                <w:kern w:val="2"/>
                <w:sz w:val="24"/>
                <w:szCs w:val="24"/>
                <w:lang w:val="en-US" w:eastAsia="zh-CN" w:bidi="ar"/>
              </w:rPr>
              <w:t>系统的设置，应用范围及紧急停车、安全联锁、应急控制等安全功能</w:t>
            </w:r>
            <w:r>
              <w:rPr>
                <w:rFonts w:hint="eastAsia" w:ascii="宋体" w:hAnsi="宋体" w:eastAsia="宋体" w:cs="宋体"/>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存在易燃、易爆、易爆聚或分解物料的精馏（蒸馏）系统应采取自动化控制，对进料量、热媒流量、塔釜液位、回流量、塔釜温度等主要工艺参数进行自动检测、远传报警，具备自动控制功能。</w:t>
            </w:r>
          </w:p>
          <w:p w14:paraId="363F45F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间歇、半间歇式精细化工建设项目的物料处理（包括原料、介质、催化剂等），尤其是固体物料的投加、采样分析、产品后处理和包装等环节，国内外有自动化应用案例的应进行自动化设计，尽量减少人工操作。</w:t>
            </w:r>
          </w:p>
        </w:tc>
        <w:tc>
          <w:tcPr>
            <w:tcW w:w="615" w:type="pct"/>
            <w:shd w:val="clear" w:color="auto" w:fill="auto"/>
            <w:tcMar>
              <w:top w:w="57" w:type="dxa"/>
              <w:left w:w="57" w:type="dxa"/>
              <w:bottom w:w="57" w:type="dxa"/>
              <w:right w:w="57" w:type="dxa"/>
            </w:tcMar>
            <w:vAlign w:val="center"/>
          </w:tcPr>
          <w:p w14:paraId="6789ABD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96C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279BB2D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5C934FB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3A0CDF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61</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根据项目开展的</w:t>
            </w:r>
            <w:r>
              <w:rPr>
                <w:rFonts w:hint="default" w:ascii="Times New Roman" w:hAnsi="Times New Roman" w:eastAsia="宋体" w:cs="Times New Roman"/>
                <w:b/>
                <w:bCs/>
                <w:color w:val="auto"/>
                <w:kern w:val="2"/>
                <w:sz w:val="24"/>
                <w:szCs w:val="24"/>
                <w:lang w:val="en-US" w:eastAsia="zh-CN" w:bidi="ar"/>
              </w:rPr>
              <w:t>SIL</w:t>
            </w:r>
            <w:r>
              <w:rPr>
                <w:rFonts w:hint="eastAsia" w:ascii="宋体" w:hAnsi="宋体" w:eastAsia="宋体" w:cs="宋体"/>
                <w:b/>
                <w:bCs/>
                <w:color w:val="auto"/>
                <w:kern w:val="2"/>
                <w:sz w:val="24"/>
                <w:szCs w:val="24"/>
                <w:lang w:val="en-US" w:eastAsia="zh-CN" w:bidi="ar"/>
              </w:rPr>
              <w:t>定级分析结果，说明各</w:t>
            </w:r>
            <w:r>
              <w:rPr>
                <w:rFonts w:hint="default" w:ascii="Times New Roman" w:hAnsi="Times New Roman" w:eastAsia="宋体" w:cs="Times New Roman"/>
                <w:b/>
                <w:bCs/>
                <w:color w:val="auto"/>
                <w:kern w:val="2"/>
                <w:sz w:val="24"/>
                <w:szCs w:val="24"/>
                <w:lang w:val="en-US" w:eastAsia="zh-CN" w:bidi="ar"/>
              </w:rPr>
              <w:t>SlF</w:t>
            </w:r>
            <w:r>
              <w:rPr>
                <w:rFonts w:hint="eastAsia" w:ascii="宋体" w:hAnsi="宋体" w:eastAsia="宋体" w:cs="宋体"/>
                <w:b/>
                <w:bCs/>
                <w:color w:val="auto"/>
                <w:kern w:val="2"/>
                <w:sz w:val="24"/>
                <w:szCs w:val="24"/>
                <w:lang w:val="en-US" w:eastAsia="zh-CN" w:bidi="ar"/>
              </w:rPr>
              <w:t>回路的</w:t>
            </w:r>
            <w:r>
              <w:rPr>
                <w:rFonts w:hint="default" w:ascii="Times New Roman" w:hAnsi="Times New Roman" w:eastAsia="宋体" w:cs="Times New Roman"/>
                <w:b/>
                <w:bCs/>
                <w:color w:val="auto"/>
                <w:kern w:val="2"/>
                <w:sz w:val="24"/>
                <w:szCs w:val="24"/>
                <w:lang w:val="en-US" w:eastAsia="zh-CN" w:bidi="ar"/>
              </w:rPr>
              <w:t>SIL</w:t>
            </w:r>
            <w:r>
              <w:rPr>
                <w:rFonts w:hint="eastAsia" w:ascii="宋体" w:hAnsi="宋体" w:eastAsia="宋体" w:cs="宋体"/>
                <w:b/>
                <w:bCs/>
                <w:color w:val="auto"/>
                <w:kern w:val="2"/>
                <w:sz w:val="24"/>
                <w:szCs w:val="24"/>
                <w:lang w:val="en-US" w:eastAsia="zh-CN" w:bidi="ar"/>
              </w:rPr>
              <w:t>值。</w:t>
            </w:r>
          </w:p>
        </w:tc>
        <w:tc>
          <w:tcPr>
            <w:tcW w:w="615" w:type="pct"/>
            <w:shd w:val="clear" w:color="auto" w:fill="auto"/>
            <w:tcMar>
              <w:top w:w="57" w:type="dxa"/>
              <w:left w:w="57" w:type="dxa"/>
              <w:bottom w:w="57" w:type="dxa"/>
              <w:right w:w="57" w:type="dxa"/>
            </w:tcMar>
            <w:vAlign w:val="center"/>
          </w:tcPr>
          <w:p w14:paraId="73830E3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AB3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F0A8FC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14298D0">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5FD1C7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62</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可燃及有毒气体检测和报警系统（</w:t>
            </w:r>
            <w:r>
              <w:rPr>
                <w:rFonts w:hint="default" w:ascii="Times New Roman" w:hAnsi="Times New Roman" w:eastAsia="宋体" w:cs="Times New Roman"/>
                <w:b/>
                <w:bCs/>
                <w:color w:val="auto"/>
                <w:kern w:val="2"/>
                <w:sz w:val="24"/>
                <w:szCs w:val="24"/>
                <w:lang w:val="en-US" w:eastAsia="zh-CN" w:bidi="ar"/>
              </w:rPr>
              <w:t>GDS</w:t>
            </w:r>
            <w:r>
              <w:rPr>
                <w:rFonts w:hint="eastAsia" w:ascii="宋体" w:hAnsi="宋体" w:eastAsia="宋体" w:cs="宋体"/>
                <w:b/>
                <w:bCs/>
                <w:color w:val="auto"/>
                <w:kern w:val="2"/>
                <w:sz w:val="24"/>
                <w:szCs w:val="24"/>
                <w:lang w:val="en-US" w:eastAsia="zh-CN" w:bidi="ar"/>
              </w:rPr>
              <w:t>）的设置符合规范要求。有毒气体密闭空间的事故排风系统应当具备联锁启动、室外或远程启动功能。</w:t>
            </w:r>
          </w:p>
          <w:p w14:paraId="06FAA4A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说明项目的爆炸危险性和腐蚀性场所仪表选型、安装措施以及可燃性气体、毒性气体报警器选型、数量、安装位置、防爆等级。</w:t>
            </w:r>
          </w:p>
        </w:tc>
        <w:tc>
          <w:tcPr>
            <w:tcW w:w="615" w:type="pct"/>
            <w:shd w:val="clear" w:color="auto" w:fill="auto"/>
            <w:tcMar>
              <w:top w:w="57" w:type="dxa"/>
              <w:left w:w="57" w:type="dxa"/>
              <w:bottom w:w="57" w:type="dxa"/>
              <w:right w:w="57" w:type="dxa"/>
            </w:tcMar>
            <w:vAlign w:val="center"/>
          </w:tcPr>
          <w:p w14:paraId="65C2912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B48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B1E886E">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0901761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3576D4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63</w:t>
            </w:r>
            <w:r>
              <w:rPr>
                <w:rFonts w:hint="eastAsia" w:ascii="宋体" w:hAnsi="宋体" w:eastAsia="宋体" w:cs="宋体"/>
                <w:color w:val="auto"/>
                <w:kern w:val="2"/>
                <w:sz w:val="24"/>
                <w:szCs w:val="24"/>
                <w:lang w:val="en-US" w:eastAsia="zh-CN" w:bidi="ar"/>
              </w:rPr>
              <w:t>）控制室的组成及主要功能，包括生产控制、消防控制、应急控制等。仪表电缆的选择和敷设路径应说明清楚。</w:t>
            </w:r>
          </w:p>
        </w:tc>
        <w:tc>
          <w:tcPr>
            <w:tcW w:w="615" w:type="pct"/>
            <w:shd w:val="clear" w:color="auto" w:fill="auto"/>
            <w:tcMar>
              <w:top w:w="57" w:type="dxa"/>
              <w:left w:w="57" w:type="dxa"/>
              <w:bottom w:w="57" w:type="dxa"/>
              <w:right w:w="57" w:type="dxa"/>
            </w:tcMar>
            <w:vAlign w:val="center"/>
          </w:tcPr>
          <w:p w14:paraId="6D57632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A16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6F5E0C4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27</w:t>
            </w:r>
          </w:p>
        </w:tc>
        <w:tc>
          <w:tcPr>
            <w:tcW w:w="514" w:type="pct"/>
            <w:vMerge w:val="restart"/>
            <w:shd w:val="clear" w:color="auto" w:fill="auto"/>
            <w:tcMar>
              <w:top w:w="57" w:type="dxa"/>
              <w:left w:w="57" w:type="dxa"/>
              <w:bottom w:w="57" w:type="dxa"/>
              <w:right w:w="57" w:type="dxa"/>
            </w:tcMar>
            <w:vAlign w:val="center"/>
          </w:tcPr>
          <w:p w14:paraId="1DC3441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建构</w:t>
            </w:r>
          </w:p>
          <w:p w14:paraId="1FB1210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筑物</w:t>
            </w:r>
          </w:p>
        </w:tc>
        <w:tc>
          <w:tcPr>
            <w:tcW w:w="3519" w:type="pct"/>
            <w:gridSpan w:val="3"/>
            <w:shd w:val="clear" w:color="auto" w:fill="auto"/>
            <w:tcMar>
              <w:top w:w="57" w:type="dxa"/>
              <w:left w:w="57" w:type="dxa"/>
              <w:bottom w:w="57" w:type="dxa"/>
              <w:right w:w="57" w:type="dxa"/>
            </w:tcMar>
            <w:vAlign w:val="center"/>
          </w:tcPr>
          <w:p w14:paraId="0A55213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64</w:t>
            </w:r>
            <w:r>
              <w:rPr>
                <w:rFonts w:hint="eastAsia" w:ascii="宋体" w:hAnsi="宋体" w:eastAsia="宋体" w:cs="宋体"/>
                <w:color w:val="auto"/>
                <w:kern w:val="2"/>
                <w:sz w:val="24"/>
                <w:szCs w:val="24"/>
                <w:lang w:val="en-US" w:eastAsia="zh-CN" w:bidi="ar"/>
              </w:rPr>
              <w:t>）说明项目建（</w:t>
            </w:r>
            <w:r>
              <w:rPr>
                <w:rFonts w:hint="eastAsia" w:ascii="宋体" w:hAnsi="宋体" w:eastAsia="宋体" w:cs="宋体"/>
                <w:b w:val="0"/>
                <w:bCs w:val="0"/>
                <w:color w:val="auto"/>
                <w:kern w:val="2"/>
                <w:sz w:val="24"/>
                <w:szCs w:val="24"/>
                <w:lang w:val="en-US" w:eastAsia="zh-CN" w:bidi="ar"/>
              </w:rPr>
              <w:t>构）</w:t>
            </w:r>
            <w:r>
              <w:rPr>
                <w:rFonts w:hint="eastAsia" w:ascii="宋体" w:hAnsi="宋体" w:eastAsia="宋体" w:cs="宋体"/>
                <w:color w:val="auto"/>
                <w:kern w:val="2"/>
                <w:sz w:val="24"/>
                <w:szCs w:val="24"/>
                <w:lang w:val="en-US" w:eastAsia="zh-CN" w:bidi="ar"/>
              </w:rPr>
              <w:t>筑物防火、</w:t>
            </w:r>
            <w:r>
              <w:rPr>
                <w:rFonts w:hint="eastAsia" w:ascii="宋体" w:hAnsi="宋体" w:eastAsia="宋体" w:cs="宋体"/>
                <w:b w:val="0"/>
                <w:bCs w:val="0"/>
                <w:color w:val="auto"/>
                <w:kern w:val="2"/>
                <w:sz w:val="24"/>
                <w:szCs w:val="24"/>
                <w:lang w:val="en-US" w:eastAsia="zh-CN" w:bidi="ar"/>
              </w:rPr>
              <w:t>泄</w:t>
            </w:r>
            <w:r>
              <w:rPr>
                <w:rFonts w:hint="eastAsia" w:ascii="宋体" w:hAnsi="宋体" w:eastAsia="宋体" w:cs="宋体"/>
                <w:color w:val="auto"/>
                <w:kern w:val="2"/>
                <w:sz w:val="24"/>
                <w:szCs w:val="24"/>
                <w:lang w:val="en-US" w:eastAsia="zh-CN" w:bidi="ar"/>
              </w:rPr>
              <w:t>爆、抗爆、防腐、耐火保护、防火疏散等安全设施；编制</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建（构）筑物一览表</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w:t>
            </w:r>
          </w:p>
          <w:p w14:paraId="6D2FC1B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包括结构、占地面积、建筑面积、层数、建筑高度、火灾危险性类别、耐火等级等，详细说明抗震设防、</w:t>
            </w:r>
            <w:r>
              <w:rPr>
                <w:rFonts w:hint="eastAsia" w:ascii="宋体" w:hAnsi="宋体" w:eastAsia="宋体" w:cs="宋体"/>
                <w:b w:val="0"/>
                <w:bCs w:val="0"/>
                <w:color w:val="auto"/>
                <w:kern w:val="2"/>
                <w:sz w:val="24"/>
                <w:szCs w:val="24"/>
                <w:lang w:val="en-US" w:eastAsia="zh-CN" w:bidi="ar"/>
              </w:rPr>
              <w:t>防火分区、</w:t>
            </w:r>
            <w:r>
              <w:rPr>
                <w:rFonts w:hint="eastAsia" w:ascii="宋体" w:hAnsi="宋体" w:eastAsia="宋体" w:cs="宋体"/>
                <w:color w:val="auto"/>
                <w:kern w:val="2"/>
                <w:sz w:val="24"/>
                <w:szCs w:val="24"/>
                <w:lang w:val="en-US" w:eastAsia="zh-CN" w:bidi="ar"/>
              </w:rPr>
              <w:t>泄压面积、疏散通道与安全出口等。</w:t>
            </w:r>
          </w:p>
        </w:tc>
        <w:tc>
          <w:tcPr>
            <w:tcW w:w="615" w:type="pct"/>
            <w:shd w:val="clear" w:color="auto" w:fill="auto"/>
            <w:tcMar>
              <w:top w:w="57" w:type="dxa"/>
              <w:left w:w="57" w:type="dxa"/>
              <w:bottom w:w="57" w:type="dxa"/>
              <w:right w:w="57" w:type="dxa"/>
            </w:tcMar>
            <w:vAlign w:val="center"/>
          </w:tcPr>
          <w:p w14:paraId="2A9442D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689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38F31D6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59D71C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0816C2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65</w:t>
            </w:r>
            <w:r>
              <w:rPr>
                <w:rFonts w:hint="eastAsia" w:ascii="宋体" w:hAnsi="宋体" w:eastAsia="宋体" w:cs="宋体"/>
                <w:color w:val="auto"/>
                <w:kern w:val="2"/>
                <w:sz w:val="24"/>
                <w:szCs w:val="24"/>
                <w:lang w:val="en-US" w:eastAsia="zh-CN" w:bidi="ar"/>
              </w:rPr>
              <w:t>）厂房和仓库的泄爆设计、承重钢结构的设计符合规范要求，满足安全等级（利用现有厂房更换设备、增加设备进行改造的，应对原建、构筑物的结构安全进行核实，并有明确结论，如不满足要求应进行加固设计）。可能产生后果严重的结构，设计安全等级不得低于二级。</w:t>
            </w:r>
          </w:p>
        </w:tc>
        <w:tc>
          <w:tcPr>
            <w:tcW w:w="615" w:type="pct"/>
            <w:shd w:val="clear" w:color="auto" w:fill="auto"/>
            <w:tcMar>
              <w:top w:w="57" w:type="dxa"/>
              <w:left w:w="57" w:type="dxa"/>
              <w:bottom w:w="57" w:type="dxa"/>
              <w:right w:w="57" w:type="dxa"/>
            </w:tcMar>
            <w:vAlign w:val="center"/>
          </w:tcPr>
          <w:p w14:paraId="1670E38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DB7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0BC0812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341710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10E8C83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66</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生产装置控制室、交接班室、办公室、休息室、外</w:t>
            </w:r>
            <w:r>
              <w:rPr>
                <w:rFonts w:hint="eastAsia" w:ascii="宋体" w:hAnsi="宋体" w:eastAsia="宋体" w:cs="宋体"/>
                <w:b/>
                <w:bCs/>
                <w:color w:val="auto"/>
                <w:spacing w:val="-6"/>
                <w:kern w:val="2"/>
                <w:sz w:val="24"/>
                <w:szCs w:val="24"/>
                <w:lang w:val="en-US" w:eastAsia="zh-CN" w:bidi="ar"/>
              </w:rPr>
              <w:t>操室、巡检室、化验室的布置满足相关规范关于爆炸性危险化学品、甲乙类火灾危险性、粉尘爆炸和中毒危险性设计要求。</w:t>
            </w:r>
          </w:p>
        </w:tc>
        <w:tc>
          <w:tcPr>
            <w:tcW w:w="615" w:type="pct"/>
            <w:shd w:val="clear" w:color="auto" w:fill="auto"/>
            <w:tcMar>
              <w:top w:w="57" w:type="dxa"/>
              <w:left w:w="57" w:type="dxa"/>
              <w:bottom w:w="57" w:type="dxa"/>
              <w:right w:w="57" w:type="dxa"/>
            </w:tcMar>
            <w:vAlign w:val="center"/>
          </w:tcPr>
          <w:p w14:paraId="7384E3A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49A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E7A066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FD0D9C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68FA4FB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67</w:t>
            </w:r>
            <w:r>
              <w:rPr>
                <w:rFonts w:hint="eastAsia" w:ascii="宋体" w:hAnsi="宋体" w:eastAsia="宋体" w:cs="宋体"/>
                <w:color w:val="auto"/>
                <w:kern w:val="2"/>
                <w:sz w:val="24"/>
                <w:szCs w:val="24"/>
                <w:lang w:val="en-US" w:eastAsia="zh-CN" w:bidi="ar"/>
              </w:rPr>
              <w:t>）</w:t>
            </w:r>
            <w:r>
              <w:rPr>
                <w:rFonts w:hint="eastAsia" w:ascii="宋体" w:hAnsi="宋体" w:eastAsia="宋体" w:cs="宋体"/>
                <w:color w:val="auto"/>
                <w:spacing w:val="-6"/>
                <w:kern w:val="2"/>
                <w:sz w:val="24"/>
                <w:szCs w:val="24"/>
                <w:lang w:val="en-US" w:eastAsia="zh-CN" w:bidi="ar"/>
              </w:rPr>
              <w:t>涉及物料发生爆炸（包括粉尘爆炸、尾气混合吸收等）危险可能的装置和场所设置隔爆、泄爆、自动抑爆等相应设施。</w:t>
            </w:r>
          </w:p>
        </w:tc>
        <w:tc>
          <w:tcPr>
            <w:tcW w:w="615" w:type="pct"/>
            <w:shd w:val="clear" w:color="auto" w:fill="auto"/>
            <w:tcMar>
              <w:top w:w="57" w:type="dxa"/>
              <w:left w:w="57" w:type="dxa"/>
              <w:bottom w:w="57" w:type="dxa"/>
              <w:right w:w="57" w:type="dxa"/>
            </w:tcMar>
            <w:vAlign w:val="center"/>
          </w:tcPr>
          <w:p w14:paraId="04A3979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75B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18A421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08ABF60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9BFF6D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68</w:t>
            </w:r>
            <w:r>
              <w:rPr>
                <w:rFonts w:hint="eastAsia" w:ascii="宋体" w:hAnsi="宋体" w:eastAsia="宋体" w:cs="宋体"/>
                <w:color w:val="auto"/>
                <w:kern w:val="2"/>
                <w:sz w:val="24"/>
                <w:szCs w:val="24"/>
                <w:lang w:val="en-US" w:eastAsia="zh-CN" w:bidi="ar"/>
              </w:rPr>
              <w:t>）说明生产车间和辅助建筑物的采暖、通风、空气调节、排烟与除尘等措施及设施。</w:t>
            </w:r>
          </w:p>
        </w:tc>
        <w:tc>
          <w:tcPr>
            <w:tcW w:w="615" w:type="pct"/>
            <w:shd w:val="clear" w:color="auto" w:fill="auto"/>
            <w:tcMar>
              <w:top w:w="57" w:type="dxa"/>
              <w:left w:w="57" w:type="dxa"/>
              <w:bottom w:w="57" w:type="dxa"/>
              <w:right w:w="57" w:type="dxa"/>
            </w:tcMar>
            <w:vAlign w:val="center"/>
          </w:tcPr>
          <w:p w14:paraId="63F6DA4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C86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44DAE3A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CE4362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7415C3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69</w:t>
            </w:r>
            <w:r>
              <w:rPr>
                <w:rFonts w:hint="eastAsia" w:ascii="宋体" w:hAnsi="宋体" w:eastAsia="宋体" w:cs="宋体"/>
                <w:color w:val="auto"/>
                <w:kern w:val="2"/>
                <w:sz w:val="24"/>
                <w:szCs w:val="24"/>
                <w:lang w:val="en-US" w:eastAsia="zh-CN" w:bidi="ar"/>
              </w:rPr>
              <w:t>）说明厂区及各建构筑物的消防给水和固定灭火装置等设施是否符合标准规范。</w:t>
            </w:r>
          </w:p>
        </w:tc>
        <w:tc>
          <w:tcPr>
            <w:tcW w:w="615" w:type="pct"/>
            <w:shd w:val="clear" w:color="auto" w:fill="auto"/>
            <w:tcMar>
              <w:top w:w="57" w:type="dxa"/>
              <w:left w:w="57" w:type="dxa"/>
              <w:bottom w:w="57" w:type="dxa"/>
              <w:right w:w="57" w:type="dxa"/>
            </w:tcMar>
            <w:vAlign w:val="center"/>
          </w:tcPr>
          <w:p w14:paraId="1B2FF67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427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22B71A3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28</w:t>
            </w:r>
          </w:p>
        </w:tc>
        <w:tc>
          <w:tcPr>
            <w:tcW w:w="514" w:type="pct"/>
            <w:vMerge w:val="restart"/>
            <w:shd w:val="clear" w:color="auto" w:fill="auto"/>
            <w:tcMar>
              <w:top w:w="57" w:type="dxa"/>
              <w:left w:w="57" w:type="dxa"/>
              <w:bottom w:w="57" w:type="dxa"/>
              <w:right w:w="57" w:type="dxa"/>
            </w:tcMar>
            <w:vAlign w:val="center"/>
          </w:tcPr>
          <w:p w14:paraId="113FB2A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其他防范措施</w:t>
            </w:r>
          </w:p>
        </w:tc>
        <w:tc>
          <w:tcPr>
            <w:tcW w:w="3519" w:type="pct"/>
            <w:gridSpan w:val="3"/>
            <w:shd w:val="clear" w:color="auto" w:fill="auto"/>
            <w:tcMar>
              <w:top w:w="57" w:type="dxa"/>
              <w:left w:w="57" w:type="dxa"/>
              <w:bottom w:w="57" w:type="dxa"/>
              <w:right w:w="57" w:type="dxa"/>
            </w:tcMar>
            <w:vAlign w:val="center"/>
          </w:tcPr>
          <w:p w14:paraId="6FE7338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70</w:t>
            </w:r>
            <w:r>
              <w:rPr>
                <w:rFonts w:hint="eastAsia" w:ascii="宋体" w:hAnsi="宋体" w:eastAsia="宋体" w:cs="宋体"/>
                <w:color w:val="auto"/>
                <w:kern w:val="2"/>
                <w:sz w:val="24"/>
                <w:szCs w:val="24"/>
                <w:lang w:val="en-US" w:eastAsia="zh-CN" w:bidi="ar"/>
              </w:rPr>
              <w:t>）说明防洪</w:t>
            </w:r>
            <w:r>
              <w:rPr>
                <w:rFonts w:hint="eastAsia" w:ascii="宋体" w:hAnsi="宋体" w:eastAsia="宋体" w:cs="宋体"/>
                <w:b w:val="0"/>
                <w:bCs w:val="0"/>
                <w:color w:val="auto"/>
                <w:kern w:val="2"/>
                <w:sz w:val="24"/>
                <w:szCs w:val="24"/>
                <w:lang w:val="en-US" w:eastAsia="zh-CN" w:bidi="ar"/>
              </w:rPr>
              <w:t>（山洪）</w:t>
            </w:r>
            <w:r>
              <w:rPr>
                <w:rFonts w:hint="eastAsia" w:ascii="宋体" w:hAnsi="宋体" w:eastAsia="宋体" w:cs="宋体"/>
                <w:color w:val="auto"/>
                <w:kern w:val="2"/>
                <w:sz w:val="24"/>
                <w:szCs w:val="24"/>
                <w:lang w:val="en-US" w:eastAsia="zh-CN" w:bidi="ar"/>
              </w:rPr>
              <w:t>、防台风、防地质灾害、抗震等防范自然灾害的措施。</w:t>
            </w:r>
          </w:p>
        </w:tc>
        <w:tc>
          <w:tcPr>
            <w:tcW w:w="615" w:type="pct"/>
            <w:shd w:val="clear" w:color="auto" w:fill="auto"/>
            <w:tcMar>
              <w:top w:w="57" w:type="dxa"/>
              <w:left w:w="57" w:type="dxa"/>
              <w:bottom w:w="57" w:type="dxa"/>
              <w:right w:w="57" w:type="dxa"/>
            </w:tcMar>
            <w:vAlign w:val="center"/>
          </w:tcPr>
          <w:p w14:paraId="79CD8D7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6AB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299DFC1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1BF4AE9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9DB7EE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71</w:t>
            </w:r>
            <w:r>
              <w:rPr>
                <w:rFonts w:hint="eastAsia" w:ascii="宋体" w:hAnsi="宋体" w:eastAsia="宋体" w:cs="宋体"/>
                <w:color w:val="auto"/>
                <w:kern w:val="2"/>
                <w:sz w:val="24"/>
                <w:szCs w:val="24"/>
                <w:lang w:val="en-US" w:eastAsia="zh-CN" w:bidi="ar"/>
              </w:rPr>
              <w:t>）说明防噪声、防灼烫、防护栏、安全标志、风向标的设置等。</w:t>
            </w:r>
          </w:p>
        </w:tc>
        <w:tc>
          <w:tcPr>
            <w:tcW w:w="615" w:type="pct"/>
            <w:shd w:val="clear" w:color="auto" w:fill="auto"/>
            <w:tcMar>
              <w:top w:w="57" w:type="dxa"/>
              <w:left w:w="57" w:type="dxa"/>
              <w:bottom w:w="57" w:type="dxa"/>
              <w:right w:w="57" w:type="dxa"/>
            </w:tcMar>
            <w:vAlign w:val="center"/>
          </w:tcPr>
          <w:p w14:paraId="1203FB1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DE87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06D721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9085F0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69CEC8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72</w:t>
            </w:r>
            <w:r>
              <w:rPr>
                <w:rFonts w:hint="eastAsia" w:ascii="宋体" w:hAnsi="宋体" w:eastAsia="宋体" w:cs="宋体"/>
                <w:color w:val="auto"/>
                <w:kern w:val="2"/>
                <w:sz w:val="24"/>
                <w:szCs w:val="24"/>
                <w:lang w:val="en-US" w:eastAsia="zh-CN" w:bidi="ar"/>
              </w:rPr>
              <w:t>）说明个体防护装备的配备；安全淋浴洗眼器的设置。</w:t>
            </w:r>
          </w:p>
        </w:tc>
        <w:tc>
          <w:tcPr>
            <w:tcW w:w="615" w:type="pct"/>
            <w:shd w:val="clear" w:color="auto" w:fill="auto"/>
            <w:tcMar>
              <w:top w:w="57" w:type="dxa"/>
              <w:left w:w="57" w:type="dxa"/>
              <w:bottom w:w="57" w:type="dxa"/>
              <w:right w:w="57" w:type="dxa"/>
            </w:tcMar>
            <w:vAlign w:val="center"/>
          </w:tcPr>
          <w:p w14:paraId="1DB16B7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122C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7D16D69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B34233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0F7D860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6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73</w:t>
            </w:r>
            <w:r>
              <w:rPr>
                <w:rFonts w:hint="eastAsia" w:ascii="宋体" w:hAnsi="宋体" w:eastAsia="宋体" w:cs="宋体"/>
                <w:color w:val="auto"/>
                <w:kern w:val="2"/>
                <w:sz w:val="24"/>
                <w:szCs w:val="24"/>
                <w:lang w:val="en-US" w:eastAsia="zh-CN" w:bidi="ar"/>
              </w:rPr>
              <w:t>）说明采取的其他安全防范设施。</w:t>
            </w:r>
          </w:p>
        </w:tc>
        <w:tc>
          <w:tcPr>
            <w:tcW w:w="615" w:type="pct"/>
            <w:shd w:val="clear" w:color="auto" w:fill="auto"/>
            <w:tcMar>
              <w:top w:w="57" w:type="dxa"/>
              <w:left w:w="57" w:type="dxa"/>
              <w:bottom w:w="57" w:type="dxa"/>
              <w:right w:w="57" w:type="dxa"/>
            </w:tcMar>
            <w:vAlign w:val="center"/>
          </w:tcPr>
          <w:p w14:paraId="6C1E7BE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D8E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6663BE8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29</w:t>
            </w:r>
          </w:p>
        </w:tc>
        <w:tc>
          <w:tcPr>
            <w:tcW w:w="514" w:type="pct"/>
            <w:vMerge w:val="restart"/>
            <w:shd w:val="clear" w:color="auto" w:fill="auto"/>
            <w:tcMar>
              <w:top w:w="57" w:type="dxa"/>
              <w:left w:w="57" w:type="dxa"/>
              <w:bottom w:w="57" w:type="dxa"/>
              <w:right w:w="57" w:type="dxa"/>
            </w:tcMar>
            <w:vAlign w:val="center"/>
          </w:tcPr>
          <w:p w14:paraId="2F6C0D5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事故应急措施</w:t>
            </w:r>
          </w:p>
        </w:tc>
        <w:tc>
          <w:tcPr>
            <w:tcW w:w="3519" w:type="pct"/>
            <w:gridSpan w:val="3"/>
            <w:shd w:val="clear" w:color="auto" w:fill="auto"/>
            <w:tcMar>
              <w:top w:w="57" w:type="dxa"/>
              <w:left w:w="57" w:type="dxa"/>
              <w:bottom w:w="57" w:type="dxa"/>
              <w:right w:w="57" w:type="dxa"/>
            </w:tcMar>
            <w:vAlign w:val="center"/>
          </w:tcPr>
          <w:p w14:paraId="0D1CFE7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74</w:t>
            </w:r>
            <w:r>
              <w:rPr>
                <w:rFonts w:hint="eastAsia" w:ascii="宋体" w:hAnsi="宋体" w:eastAsia="宋体" w:cs="宋体"/>
                <w:color w:val="auto"/>
                <w:kern w:val="2"/>
                <w:sz w:val="24"/>
                <w:szCs w:val="24"/>
                <w:lang w:val="en-US" w:eastAsia="zh-CN" w:bidi="ar"/>
              </w:rPr>
              <w:t>）针对建设项目特点、建设性质及周边依托情况，说明设计中采用的主要事故应急设施，包括消防站、气防站、医疗急救设施等。</w:t>
            </w:r>
          </w:p>
        </w:tc>
        <w:tc>
          <w:tcPr>
            <w:tcW w:w="615" w:type="pct"/>
            <w:shd w:val="clear" w:color="auto" w:fill="auto"/>
            <w:tcMar>
              <w:top w:w="57" w:type="dxa"/>
              <w:left w:w="57" w:type="dxa"/>
              <w:bottom w:w="57" w:type="dxa"/>
              <w:right w:w="57" w:type="dxa"/>
            </w:tcMar>
            <w:vAlign w:val="center"/>
          </w:tcPr>
          <w:p w14:paraId="516B339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36F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0658E4A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87E580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2A7F832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75</w:t>
            </w:r>
            <w:r>
              <w:rPr>
                <w:rFonts w:hint="eastAsia" w:ascii="宋体" w:hAnsi="宋体" w:eastAsia="宋体" w:cs="宋体"/>
                <w:color w:val="auto"/>
                <w:kern w:val="2"/>
                <w:sz w:val="24"/>
                <w:szCs w:val="24"/>
                <w:lang w:val="en-US" w:eastAsia="zh-CN" w:bidi="ar"/>
              </w:rPr>
              <w:t>）说明发生事故时，可能排放的最大污水量及防止排出厂</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界外的事故应急措施。</w:t>
            </w:r>
          </w:p>
        </w:tc>
        <w:tc>
          <w:tcPr>
            <w:tcW w:w="615" w:type="pct"/>
            <w:shd w:val="clear" w:color="auto" w:fill="auto"/>
            <w:tcMar>
              <w:top w:w="57" w:type="dxa"/>
              <w:left w:w="57" w:type="dxa"/>
              <w:bottom w:w="57" w:type="dxa"/>
              <w:right w:w="57" w:type="dxa"/>
            </w:tcMar>
            <w:vAlign w:val="center"/>
          </w:tcPr>
          <w:p w14:paraId="52DE979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6F0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4AC82B4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30</w:t>
            </w:r>
          </w:p>
        </w:tc>
        <w:tc>
          <w:tcPr>
            <w:tcW w:w="514" w:type="pct"/>
            <w:vMerge w:val="restart"/>
            <w:shd w:val="clear" w:color="auto" w:fill="auto"/>
            <w:tcMar>
              <w:top w:w="57" w:type="dxa"/>
              <w:left w:w="57" w:type="dxa"/>
              <w:bottom w:w="57" w:type="dxa"/>
              <w:right w:w="57" w:type="dxa"/>
            </w:tcMar>
            <w:vAlign w:val="center"/>
          </w:tcPr>
          <w:p w14:paraId="62D3418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安全管理机构及人员定岗</w:t>
            </w:r>
          </w:p>
          <w:p w14:paraId="420C44F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定员</w:t>
            </w:r>
          </w:p>
        </w:tc>
        <w:tc>
          <w:tcPr>
            <w:tcW w:w="3519" w:type="pct"/>
            <w:gridSpan w:val="3"/>
            <w:shd w:val="clear" w:color="auto" w:fill="auto"/>
            <w:tcMar>
              <w:top w:w="57" w:type="dxa"/>
              <w:left w:w="57" w:type="dxa"/>
              <w:bottom w:w="57" w:type="dxa"/>
              <w:right w:w="57" w:type="dxa"/>
            </w:tcMar>
            <w:vAlign w:val="center"/>
          </w:tcPr>
          <w:p w14:paraId="44662C5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76</w:t>
            </w:r>
            <w:r>
              <w:rPr>
                <w:rFonts w:hint="eastAsia" w:ascii="宋体" w:hAnsi="宋体" w:eastAsia="宋体" w:cs="宋体"/>
                <w:color w:val="auto"/>
                <w:kern w:val="2"/>
                <w:sz w:val="24"/>
                <w:szCs w:val="24"/>
                <w:lang w:val="en-US" w:eastAsia="zh-CN" w:bidi="ar"/>
              </w:rPr>
              <w:t>）给出具体的安全管理机构设置及人员配备（基本劳动定员、岗位设置、岗位标准和人员资质）的建议。</w:t>
            </w:r>
          </w:p>
        </w:tc>
        <w:tc>
          <w:tcPr>
            <w:tcW w:w="615" w:type="pct"/>
            <w:shd w:val="clear" w:color="auto" w:fill="auto"/>
            <w:tcMar>
              <w:top w:w="57" w:type="dxa"/>
              <w:left w:w="57" w:type="dxa"/>
              <w:bottom w:w="57" w:type="dxa"/>
              <w:right w:w="57" w:type="dxa"/>
            </w:tcMar>
            <w:vAlign w:val="center"/>
          </w:tcPr>
          <w:p w14:paraId="789C020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360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4832FB6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B7A317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3B39246">
            <w:pPr>
              <w:pStyle w:val="13"/>
              <w:keepNext w:val="0"/>
              <w:keepLines w:val="0"/>
              <w:pageBreakBefore w:val="0"/>
              <w:widowControl w:val="0"/>
              <w:suppressLineNumbers w:val="0"/>
              <w:kinsoku/>
              <w:wordWrap/>
              <w:overflowPunct w:val="0"/>
              <w:topLinePunct w:val="0"/>
              <w:autoSpaceDE/>
              <w:autoSpaceDN/>
              <w:bidi w:val="0"/>
              <w:spacing w:before="0" w:beforeAutospacing="0" w:after="0" w:afterAutospacing="0" w:line="300" w:lineRule="exact"/>
              <w:ind w:left="42" w:leftChars="20" w:right="42" w:rightChars="20"/>
              <w:jc w:val="left"/>
              <w:textAlignment w:val="baseline"/>
              <w:rPr>
                <w:rFonts w:hint="default" w:ascii="Times New Roman" w:hAnsi="Times New Roman" w:eastAsia="宋体" w:cs="宋体"/>
                <w:b/>
                <w:bCs/>
                <w:color w:val="auto"/>
                <w:kern w:val="2"/>
                <w:sz w:val="24"/>
                <w:szCs w:val="24"/>
                <w:vertAlign w:val="baseline"/>
              </w:rPr>
            </w:pPr>
            <w:r>
              <w:rPr>
                <w:rFonts w:hint="eastAsia" w:ascii="宋体" w:hAnsi="宋体" w:eastAsia="宋体" w:cs="宋体"/>
                <w:b/>
                <w:bCs/>
                <w:color w:val="auto"/>
                <w:kern w:val="2"/>
                <w:sz w:val="24"/>
                <w:szCs w:val="24"/>
                <w:vertAlign w:val="baseline"/>
                <w:lang w:val="en-US" w:eastAsia="zh-CN" w:bidi="ar"/>
              </w:rPr>
              <w:t>（</w:t>
            </w:r>
            <w:r>
              <w:rPr>
                <w:rFonts w:hint="default" w:ascii="Times New Roman" w:hAnsi="Times New Roman" w:eastAsia="宋体" w:cs="Times New Roman"/>
                <w:b/>
                <w:bCs/>
                <w:color w:val="auto"/>
                <w:kern w:val="2"/>
                <w:sz w:val="24"/>
                <w:szCs w:val="24"/>
                <w:vertAlign w:val="baseline"/>
                <w:lang w:val="en-US" w:eastAsia="zh-CN" w:bidi="ar"/>
              </w:rPr>
              <w:t>77</w:t>
            </w:r>
            <w:r>
              <w:rPr>
                <w:rFonts w:hint="eastAsia" w:ascii="宋体" w:hAnsi="宋体" w:eastAsia="宋体" w:cs="宋体"/>
                <w:b/>
                <w:bCs/>
                <w:color w:val="auto"/>
                <w:kern w:val="2"/>
                <w:sz w:val="24"/>
                <w:szCs w:val="24"/>
                <w:vertAlign w:val="baseline"/>
                <w:lang w:val="en-US" w:eastAsia="zh-CN" w:bidi="ar"/>
              </w:rPr>
              <w:t>）</w:t>
            </w:r>
            <w:r>
              <w:rPr>
                <w:rFonts w:hint="default" w:ascii="Times New Roman" w:hAnsi="Times New Roman" w:eastAsia="宋体" w:cs="Times New Roman"/>
                <w:b/>
                <w:bCs/>
                <w:color w:val="auto"/>
                <w:kern w:val="2"/>
                <w:sz w:val="24"/>
                <w:szCs w:val="24"/>
                <w:vertAlign w:val="baseline"/>
                <w:lang w:val="en-US" w:eastAsia="zh-CN" w:bidi="ar"/>
              </w:rPr>
              <w:t>*</w:t>
            </w:r>
            <w:r>
              <w:rPr>
                <w:rFonts w:hint="eastAsia" w:ascii="宋体" w:hAnsi="宋体" w:eastAsia="宋体" w:cs="宋体"/>
                <w:b/>
                <w:bCs/>
                <w:color w:val="auto"/>
                <w:kern w:val="2"/>
                <w:sz w:val="24"/>
                <w:szCs w:val="24"/>
                <w:vertAlign w:val="baseline"/>
                <w:lang w:val="en-US" w:eastAsia="zh-CN" w:bidi="ar"/>
              </w:rPr>
              <w:t>涉及硝化、加氢、氯化、氟化、重氮化、过氧化等高危工艺反应工艺危险度在</w:t>
            </w:r>
            <w:r>
              <w:rPr>
                <w:rFonts w:hint="default" w:ascii="Times New Roman" w:hAnsi="Times New Roman" w:eastAsia="宋体" w:cs="Times New Roman"/>
                <w:b/>
                <w:bCs/>
                <w:color w:val="auto"/>
                <w:kern w:val="2"/>
                <w:sz w:val="24"/>
                <w:szCs w:val="24"/>
                <w:vertAlign w:val="baseline"/>
                <w:lang w:val="en-US" w:eastAsia="zh-CN" w:bidi="ar"/>
              </w:rPr>
              <w:t>3</w:t>
            </w:r>
            <w:r>
              <w:rPr>
                <w:rFonts w:hint="eastAsia" w:ascii="宋体" w:hAnsi="宋体" w:eastAsia="宋体" w:cs="宋体"/>
                <w:b/>
                <w:bCs/>
                <w:color w:val="auto"/>
                <w:kern w:val="2"/>
                <w:sz w:val="24"/>
                <w:szCs w:val="24"/>
                <w:vertAlign w:val="baseline"/>
                <w:lang w:val="en-US" w:eastAsia="zh-CN" w:bidi="ar"/>
              </w:rPr>
              <w:t>级及以上的生产车间（装置区域），以及高危工艺以外的其它危险工艺反应工艺危险度在</w:t>
            </w:r>
            <w:r>
              <w:rPr>
                <w:rFonts w:hint="default" w:ascii="Times New Roman" w:hAnsi="Times New Roman" w:eastAsia="宋体" w:cs="Times New Roman"/>
                <w:b/>
                <w:bCs/>
                <w:color w:val="auto"/>
                <w:kern w:val="2"/>
                <w:sz w:val="24"/>
                <w:szCs w:val="24"/>
                <w:vertAlign w:val="baseline"/>
                <w:lang w:val="en-US" w:eastAsia="zh-CN" w:bidi="ar"/>
              </w:rPr>
              <w:t>4</w:t>
            </w:r>
            <w:r>
              <w:rPr>
                <w:rFonts w:hint="eastAsia" w:ascii="宋体" w:hAnsi="宋体" w:eastAsia="宋体" w:cs="宋体"/>
                <w:b/>
                <w:bCs/>
                <w:color w:val="auto"/>
                <w:kern w:val="2"/>
                <w:sz w:val="24"/>
                <w:szCs w:val="24"/>
                <w:vertAlign w:val="baseline"/>
                <w:lang w:val="en-US" w:eastAsia="zh-CN" w:bidi="ar"/>
              </w:rPr>
              <w:t>级及以上的生产车间（装置区域）同一时间现场操作人员的数量是否满足要求。涉及易燃易爆、毒性气体、毒性粉尘、爆炸性粉尘的作业现场或厂房的最大人数（包括交接班时）的数量满足要求。</w:t>
            </w:r>
          </w:p>
        </w:tc>
        <w:tc>
          <w:tcPr>
            <w:tcW w:w="615" w:type="pct"/>
            <w:shd w:val="clear" w:color="auto" w:fill="auto"/>
            <w:tcMar>
              <w:top w:w="57" w:type="dxa"/>
              <w:left w:w="57" w:type="dxa"/>
              <w:bottom w:w="57" w:type="dxa"/>
              <w:right w:w="57" w:type="dxa"/>
            </w:tcMar>
            <w:vAlign w:val="center"/>
          </w:tcPr>
          <w:p w14:paraId="5FB2BB3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03A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2368223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31</w:t>
            </w:r>
          </w:p>
        </w:tc>
        <w:tc>
          <w:tcPr>
            <w:tcW w:w="514" w:type="pct"/>
            <w:vMerge w:val="restart"/>
            <w:shd w:val="clear" w:color="auto" w:fill="auto"/>
            <w:tcMar>
              <w:top w:w="57" w:type="dxa"/>
              <w:left w:w="57" w:type="dxa"/>
              <w:bottom w:w="57" w:type="dxa"/>
              <w:right w:w="57" w:type="dxa"/>
            </w:tcMar>
            <w:vAlign w:val="center"/>
          </w:tcPr>
          <w:p w14:paraId="6417FF6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报告意见建议采纳情况</w:t>
            </w:r>
          </w:p>
        </w:tc>
        <w:tc>
          <w:tcPr>
            <w:tcW w:w="3519" w:type="pct"/>
            <w:gridSpan w:val="3"/>
            <w:shd w:val="clear" w:color="auto" w:fill="auto"/>
            <w:tcMar>
              <w:top w:w="57" w:type="dxa"/>
              <w:left w:w="57" w:type="dxa"/>
              <w:bottom w:w="57" w:type="dxa"/>
              <w:right w:w="57" w:type="dxa"/>
            </w:tcMar>
            <w:vAlign w:val="center"/>
          </w:tcPr>
          <w:p w14:paraId="02C1983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78</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*HAZOP</w:t>
            </w:r>
            <w:r>
              <w:rPr>
                <w:rFonts w:hint="eastAsia" w:ascii="宋体" w:hAnsi="宋体" w:eastAsia="宋体" w:cs="宋体"/>
                <w:b/>
                <w:bCs/>
                <w:color w:val="auto"/>
                <w:kern w:val="2"/>
                <w:sz w:val="24"/>
                <w:szCs w:val="24"/>
                <w:lang w:val="en-US" w:eastAsia="zh-CN" w:bidi="ar"/>
              </w:rPr>
              <w:t>分析报告提出的对策措施采纳情况。</w:t>
            </w:r>
          </w:p>
        </w:tc>
        <w:tc>
          <w:tcPr>
            <w:tcW w:w="615" w:type="pct"/>
            <w:shd w:val="clear" w:color="auto" w:fill="auto"/>
            <w:tcMar>
              <w:top w:w="57" w:type="dxa"/>
              <w:left w:w="57" w:type="dxa"/>
              <w:bottom w:w="57" w:type="dxa"/>
              <w:right w:w="57" w:type="dxa"/>
            </w:tcMar>
            <w:vAlign w:val="center"/>
          </w:tcPr>
          <w:p w14:paraId="5BC3575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008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00D99B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C472025">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7AF948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79</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精细化工反应安全风险评估结果与措施的采纳情况。</w:t>
            </w:r>
          </w:p>
        </w:tc>
        <w:tc>
          <w:tcPr>
            <w:tcW w:w="615" w:type="pct"/>
            <w:shd w:val="clear" w:color="auto" w:fill="auto"/>
            <w:tcMar>
              <w:top w:w="57" w:type="dxa"/>
              <w:left w:w="57" w:type="dxa"/>
              <w:bottom w:w="57" w:type="dxa"/>
              <w:right w:w="57" w:type="dxa"/>
            </w:tcMar>
            <w:vAlign w:val="center"/>
          </w:tcPr>
          <w:p w14:paraId="3B00099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AE53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81F8D1C">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01EFA21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BCE57E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80</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安全可靠性论证结论与建议采纳情况。</w:t>
            </w:r>
          </w:p>
        </w:tc>
        <w:tc>
          <w:tcPr>
            <w:tcW w:w="615" w:type="pct"/>
            <w:shd w:val="clear" w:color="auto" w:fill="auto"/>
            <w:tcMar>
              <w:top w:w="57" w:type="dxa"/>
              <w:left w:w="57" w:type="dxa"/>
              <w:bottom w:w="57" w:type="dxa"/>
              <w:right w:w="57" w:type="dxa"/>
            </w:tcMar>
            <w:vAlign w:val="center"/>
          </w:tcPr>
          <w:p w14:paraId="40DF3D7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E26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12C094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67FA55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23C1ABE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81</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*SIL</w:t>
            </w:r>
            <w:r>
              <w:rPr>
                <w:rFonts w:hint="eastAsia" w:ascii="宋体" w:hAnsi="宋体" w:eastAsia="宋体" w:cs="宋体"/>
                <w:b/>
                <w:bCs/>
                <w:color w:val="auto"/>
                <w:kern w:val="2"/>
                <w:sz w:val="24"/>
                <w:szCs w:val="24"/>
                <w:lang w:val="en-US" w:eastAsia="zh-CN" w:bidi="ar"/>
              </w:rPr>
              <w:t>定级建议措施落实情况。</w:t>
            </w:r>
          </w:p>
        </w:tc>
        <w:tc>
          <w:tcPr>
            <w:tcW w:w="615" w:type="pct"/>
            <w:shd w:val="clear" w:color="auto" w:fill="auto"/>
            <w:tcMar>
              <w:top w:w="57" w:type="dxa"/>
              <w:left w:w="57" w:type="dxa"/>
              <w:bottom w:w="57" w:type="dxa"/>
              <w:right w:w="57" w:type="dxa"/>
            </w:tcMar>
            <w:vAlign w:val="center"/>
          </w:tcPr>
          <w:p w14:paraId="115D80E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132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71C9CEB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3BE002F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074612E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82</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安全条件评价报告提出的与工程设计有关的安全对策与建议的采纳情况。</w:t>
            </w:r>
          </w:p>
        </w:tc>
        <w:tc>
          <w:tcPr>
            <w:tcW w:w="615" w:type="pct"/>
            <w:shd w:val="clear" w:color="auto" w:fill="auto"/>
            <w:tcMar>
              <w:top w:w="57" w:type="dxa"/>
              <w:left w:w="57" w:type="dxa"/>
              <w:bottom w:w="57" w:type="dxa"/>
              <w:right w:w="57" w:type="dxa"/>
            </w:tcMar>
            <w:vAlign w:val="center"/>
          </w:tcPr>
          <w:p w14:paraId="4F58D0D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F43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E4DB35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A8459A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B6EC9A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83</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说明工程设计未采纳意见建议的理由。</w:t>
            </w:r>
          </w:p>
        </w:tc>
        <w:tc>
          <w:tcPr>
            <w:tcW w:w="615" w:type="pct"/>
            <w:shd w:val="clear" w:color="auto" w:fill="auto"/>
            <w:tcMar>
              <w:top w:w="57" w:type="dxa"/>
              <w:left w:w="57" w:type="dxa"/>
              <w:bottom w:w="57" w:type="dxa"/>
              <w:right w:w="57" w:type="dxa"/>
            </w:tcMar>
            <w:vAlign w:val="center"/>
          </w:tcPr>
          <w:p w14:paraId="3CFF976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AC8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5000" w:type="pct"/>
            <w:gridSpan w:val="6"/>
            <w:shd w:val="clear" w:color="auto" w:fill="auto"/>
            <w:tcMar>
              <w:top w:w="57" w:type="dxa"/>
              <w:left w:w="57" w:type="dxa"/>
              <w:bottom w:w="57" w:type="dxa"/>
              <w:right w:w="57" w:type="dxa"/>
            </w:tcMar>
            <w:vAlign w:val="center"/>
          </w:tcPr>
          <w:p w14:paraId="6A2DF98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六、结论与建议</w:t>
            </w:r>
          </w:p>
        </w:tc>
      </w:tr>
      <w:tr w14:paraId="57495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3D81243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32</w:t>
            </w:r>
          </w:p>
        </w:tc>
        <w:tc>
          <w:tcPr>
            <w:tcW w:w="514" w:type="pct"/>
            <w:vMerge w:val="restart"/>
            <w:shd w:val="clear" w:color="auto" w:fill="auto"/>
            <w:tcMar>
              <w:top w:w="57" w:type="dxa"/>
              <w:left w:w="57" w:type="dxa"/>
              <w:bottom w:w="57" w:type="dxa"/>
              <w:right w:w="57" w:type="dxa"/>
            </w:tcMar>
            <w:vAlign w:val="center"/>
          </w:tcPr>
          <w:p w14:paraId="22C2173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结论</w:t>
            </w:r>
          </w:p>
        </w:tc>
        <w:tc>
          <w:tcPr>
            <w:tcW w:w="3519" w:type="pct"/>
            <w:gridSpan w:val="3"/>
            <w:shd w:val="clear" w:color="auto" w:fill="auto"/>
            <w:tcMar>
              <w:top w:w="57" w:type="dxa"/>
              <w:left w:w="57" w:type="dxa"/>
              <w:bottom w:w="57" w:type="dxa"/>
              <w:right w:w="57" w:type="dxa"/>
            </w:tcMar>
            <w:vAlign w:val="center"/>
          </w:tcPr>
          <w:p w14:paraId="397BBE4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84</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清晰描述工程设计阶段的安全条件与项目安全条件审查阶段相关内容的符合性以及处理结果。</w:t>
            </w:r>
          </w:p>
        </w:tc>
        <w:tc>
          <w:tcPr>
            <w:tcW w:w="615" w:type="pct"/>
            <w:shd w:val="clear" w:color="auto" w:fill="auto"/>
            <w:tcMar>
              <w:top w:w="57" w:type="dxa"/>
              <w:left w:w="57" w:type="dxa"/>
              <w:bottom w:w="57" w:type="dxa"/>
              <w:right w:w="57" w:type="dxa"/>
            </w:tcMar>
            <w:vAlign w:val="center"/>
          </w:tcPr>
          <w:p w14:paraId="306B5E0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47DA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0C623CB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B464D7E">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02829E0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85</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清晰描述建设项目选用的工艺技术安全可靠性。</w:t>
            </w:r>
          </w:p>
        </w:tc>
        <w:tc>
          <w:tcPr>
            <w:tcW w:w="615" w:type="pct"/>
            <w:shd w:val="clear" w:color="auto" w:fill="auto"/>
            <w:tcMar>
              <w:top w:w="57" w:type="dxa"/>
              <w:left w:w="57" w:type="dxa"/>
              <w:bottom w:w="57" w:type="dxa"/>
              <w:right w:w="57" w:type="dxa"/>
            </w:tcMar>
            <w:vAlign w:val="center"/>
          </w:tcPr>
          <w:p w14:paraId="5CDA458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7634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395657DD">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68C6A28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7B0AB5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86</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清晰描述设计符合现行安全法律、法规、规章及相关标准、规范情况。</w:t>
            </w:r>
          </w:p>
        </w:tc>
        <w:tc>
          <w:tcPr>
            <w:tcW w:w="615" w:type="pct"/>
            <w:shd w:val="clear" w:color="auto" w:fill="auto"/>
            <w:tcMar>
              <w:top w:w="57" w:type="dxa"/>
              <w:left w:w="57" w:type="dxa"/>
              <w:bottom w:w="57" w:type="dxa"/>
              <w:right w:w="57" w:type="dxa"/>
            </w:tcMar>
            <w:vAlign w:val="center"/>
          </w:tcPr>
          <w:p w14:paraId="08E03FB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656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28648FA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5815BA0F">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6439535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87</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清晰描述安全设施设计的预期效果及结论。</w:t>
            </w:r>
          </w:p>
        </w:tc>
        <w:tc>
          <w:tcPr>
            <w:tcW w:w="615" w:type="pct"/>
            <w:shd w:val="clear" w:color="auto" w:fill="auto"/>
            <w:tcMar>
              <w:top w:w="57" w:type="dxa"/>
              <w:left w:w="57" w:type="dxa"/>
              <w:bottom w:w="57" w:type="dxa"/>
              <w:right w:w="57" w:type="dxa"/>
            </w:tcMar>
            <w:vAlign w:val="center"/>
          </w:tcPr>
          <w:p w14:paraId="21A151F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9D7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102" w:hRule="atLeast"/>
          <w:jc w:val="center"/>
        </w:trPr>
        <w:tc>
          <w:tcPr>
            <w:tcW w:w="350" w:type="pct"/>
            <w:shd w:val="clear" w:color="auto" w:fill="auto"/>
            <w:tcMar>
              <w:top w:w="57" w:type="dxa"/>
              <w:left w:w="57" w:type="dxa"/>
              <w:bottom w:w="57" w:type="dxa"/>
              <w:right w:w="57" w:type="dxa"/>
            </w:tcMar>
            <w:vAlign w:val="center"/>
          </w:tcPr>
          <w:p w14:paraId="31B7B31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33</w:t>
            </w:r>
          </w:p>
        </w:tc>
        <w:tc>
          <w:tcPr>
            <w:tcW w:w="514" w:type="pct"/>
            <w:shd w:val="clear" w:color="auto" w:fill="auto"/>
            <w:tcMar>
              <w:top w:w="57" w:type="dxa"/>
              <w:left w:w="57" w:type="dxa"/>
              <w:bottom w:w="57" w:type="dxa"/>
              <w:right w:w="57" w:type="dxa"/>
            </w:tcMar>
            <w:vAlign w:val="center"/>
          </w:tcPr>
          <w:p w14:paraId="3EC6BD6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建议</w:t>
            </w:r>
          </w:p>
        </w:tc>
        <w:tc>
          <w:tcPr>
            <w:tcW w:w="3519" w:type="pct"/>
            <w:gridSpan w:val="3"/>
            <w:shd w:val="clear" w:color="auto" w:fill="auto"/>
            <w:tcMar>
              <w:top w:w="57" w:type="dxa"/>
              <w:left w:w="57" w:type="dxa"/>
              <w:bottom w:w="57" w:type="dxa"/>
              <w:right w:w="57" w:type="dxa"/>
            </w:tcMar>
            <w:vAlign w:val="center"/>
          </w:tcPr>
          <w:p w14:paraId="36F99EF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88</w:t>
            </w:r>
            <w:r>
              <w:rPr>
                <w:rFonts w:hint="eastAsia" w:ascii="宋体" w:hAnsi="宋体" w:eastAsia="宋体" w:cs="宋体"/>
                <w:color w:val="auto"/>
                <w:kern w:val="2"/>
                <w:sz w:val="24"/>
                <w:szCs w:val="24"/>
                <w:lang w:val="en-US" w:eastAsia="zh-CN" w:bidi="ar"/>
              </w:rPr>
              <w:t>）根据国内或国外同类装置（设施）的</w:t>
            </w:r>
            <w:r>
              <w:rPr>
                <w:rFonts w:hint="default" w:asciiTheme="minorEastAsia" w:hAnsiTheme="minorEastAsia" w:eastAsiaTheme="minorEastAsia" w:cstheme="minorEastAsia"/>
                <w:color w:val="auto"/>
                <w:kern w:val="2"/>
                <w:sz w:val="24"/>
                <w:szCs w:val="24"/>
                <w:lang w:val="en-US" w:eastAsia="zh-CN" w:bidi="ar"/>
              </w:rPr>
              <w:t>设计经验，提出详细设计阶段需重点关注的安全设计事项及建议，</w:t>
            </w:r>
            <w:r>
              <w:rPr>
                <w:rFonts w:hint="eastAsia" w:ascii="宋体" w:hAnsi="宋体" w:eastAsia="宋体" w:cs="宋体"/>
                <w:color w:val="auto"/>
                <w:kern w:val="2"/>
                <w:sz w:val="24"/>
                <w:szCs w:val="24"/>
                <w:lang w:val="en-US" w:eastAsia="zh-CN" w:bidi="ar"/>
              </w:rPr>
              <w:t>如安全仪表功能（</w:t>
            </w:r>
            <w:r>
              <w:rPr>
                <w:rFonts w:hint="default" w:ascii="Times New Roman" w:hAnsi="Times New Roman" w:eastAsia="宋体" w:cs="Times New Roman"/>
                <w:color w:val="auto"/>
                <w:kern w:val="2"/>
                <w:sz w:val="24"/>
                <w:szCs w:val="24"/>
                <w:lang w:val="en-US" w:eastAsia="zh-CN" w:bidi="ar"/>
              </w:rPr>
              <w:t>SIF</w:t>
            </w:r>
            <w:r>
              <w:rPr>
                <w:rFonts w:hint="eastAsia" w:asciiTheme="minorEastAsia" w:hAnsiTheme="minorEastAsia" w:eastAsiaTheme="minorEastAsia" w:cstheme="minorEastAsia"/>
                <w:color w:val="auto"/>
                <w:kern w:val="2"/>
                <w:sz w:val="24"/>
                <w:szCs w:val="24"/>
                <w:lang w:val="en-US" w:eastAsia="zh-CN" w:bidi="ar"/>
              </w:rPr>
              <w:t>）回路检验测试周期和测试方法等，以及在基础设计阶段各项安全审查及风险分析评估中提出的应在详细设计阶段予以落实的事项，试生产和操作运行中需重点关注的安全问题及建议等。</w:t>
            </w:r>
          </w:p>
        </w:tc>
        <w:tc>
          <w:tcPr>
            <w:tcW w:w="615" w:type="pct"/>
            <w:shd w:val="clear" w:color="auto" w:fill="auto"/>
            <w:tcMar>
              <w:top w:w="57" w:type="dxa"/>
              <w:left w:w="57" w:type="dxa"/>
              <w:bottom w:w="57" w:type="dxa"/>
              <w:right w:w="57" w:type="dxa"/>
            </w:tcMar>
            <w:vAlign w:val="center"/>
          </w:tcPr>
          <w:p w14:paraId="3CA9B61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C28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5000" w:type="pct"/>
            <w:gridSpan w:val="6"/>
            <w:shd w:val="clear" w:color="auto" w:fill="auto"/>
            <w:tcMar>
              <w:top w:w="57" w:type="dxa"/>
              <w:left w:w="57" w:type="dxa"/>
              <w:bottom w:w="57" w:type="dxa"/>
              <w:right w:w="57" w:type="dxa"/>
            </w:tcMar>
            <w:vAlign w:val="center"/>
          </w:tcPr>
          <w:p w14:paraId="6FF7C08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宋体" w:hAnsi="宋体" w:eastAsia="宋体" w:cs="宋体"/>
                <w:b/>
                <w:bCs/>
                <w:color w:val="auto"/>
                <w:kern w:val="2"/>
                <w:sz w:val="24"/>
                <w:szCs w:val="24"/>
                <w:lang w:val="en-US" w:eastAsia="zh-CN" w:bidi="ar"/>
              </w:rPr>
            </w:pPr>
            <w:r>
              <w:rPr>
                <w:rFonts w:hint="default" w:ascii="宋体" w:hAnsi="宋体" w:eastAsia="宋体" w:cs="宋体"/>
                <w:b/>
                <w:bCs/>
                <w:color w:val="auto"/>
                <w:kern w:val="2"/>
                <w:sz w:val="24"/>
                <w:szCs w:val="24"/>
                <w:lang w:val="en-US" w:eastAsia="zh-CN" w:bidi="ar"/>
              </w:rPr>
              <w:t>七、附件</w:t>
            </w:r>
          </w:p>
        </w:tc>
      </w:tr>
      <w:tr w14:paraId="719B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restart"/>
            <w:shd w:val="clear" w:color="auto" w:fill="auto"/>
            <w:tcMar>
              <w:top w:w="57" w:type="dxa"/>
              <w:left w:w="57" w:type="dxa"/>
              <w:bottom w:w="57" w:type="dxa"/>
              <w:right w:w="57" w:type="dxa"/>
            </w:tcMar>
            <w:vAlign w:val="center"/>
          </w:tcPr>
          <w:p w14:paraId="0BEABB0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34</w:t>
            </w:r>
          </w:p>
        </w:tc>
        <w:tc>
          <w:tcPr>
            <w:tcW w:w="514" w:type="pct"/>
            <w:vMerge w:val="restart"/>
            <w:shd w:val="clear" w:color="auto" w:fill="auto"/>
            <w:tcMar>
              <w:top w:w="57" w:type="dxa"/>
              <w:left w:w="57" w:type="dxa"/>
              <w:bottom w:w="57" w:type="dxa"/>
              <w:right w:w="57" w:type="dxa"/>
            </w:tcMar>
            <w:vAlign w:val="center"/>
          </w:tcPr>
          <w:p w14:paraId="5173975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附件</w:t>
            </w:r>
          </w:p>
          <w:p w14:paraId="0C728ED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eastAsia"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附图</w:t>
            </w:r>
          </w:p>
        </w:tc>
        <w:tc>
          <w:tcPr>
            <w:tcW w:w="3519" w:type="pct"/>
            <w:gridSpan w:val="3"/>
            <w:shd w:val="clear" w:color="auto" w:fill="auto"/>
            <w:tcMar>
              <w:top w:w="57" w:type="dxa"/>
              <w:left w:w="57" w:type="dxa"/>
              <w:bottom w:w="57" w:type="dxa"/>
              <w:right w:w="57" w:type="dxa"/>
            </w:tcMar>
            <w:vAlign w:val="center"/>
          </w:tcPr>
          <w:p w14:paraId="3153A28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89</w:t>
            </w:r>
            <w:r>
              <w:rPr>
                <w:rFonts w:hint="eastAsia" w:ascii="宋体" w:hAnsi="宋体" w:eastAsia="宋体" w:cs="宋体"/>
                <w:color w:val="auto"/>
                <w:kern w:val="2"/>
                <w:sz w:val="24"/>
                <w:szCs w:val="24"/>
                <w:lang w:val="en-US" w:eastAsia="zh-CN" w:bidi="ar"/>
              </w:rPr>
              <w:t>）建设项目安全条件审查意见书。</w:t>
            </w:r>
          </w:p>
        </w:tc>
        <w:tc>
          <w:tcPr>
            <w:tcW w:w="615" w:type="pct"/>
            <w:shd w:val="clear" w:color="auto" w:fill="auto"/>
            <w:tcMar>
              <w:top w:w="57" w:type="dxa"/>
              <w:left w:w="57" w:type="dxa"/>
              <w:bottom w:w="57" w:type="dxa"/>
              <w:right w:w="57" w:type="dxa"/>
            </w:tcMar>
            <w:vAlign w:val="center"/>
          </w:tcPr>
          <w:p w14:paraId="4291A4E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0E16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5C55170">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7F661DE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D117F5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90</w:t>
            </w:r>
            <w:r>
              <w:rPr>
                <w:rFonts w:hint="eastAsia" w:ascii="宋体" w:hAnsi="宋体" w:eastAsia="宋体" w:cs="宋体"/>
                <w:color w:val="auto"/>
                <w:kern w:val="2"/>
                <w:sz w:val="24"/>
                <w:szCs w:val="24"/>
                <w:lang w:val="en-US" w:eastAsia="zh-CN" w:bidi="ar"/>
              </w:rPr>
              <w:t>）用地红线图（</w:t>
            </w:r>
            <w:r>
              <w:rPr>
                <w:rFonts w:hint="default" w:ascii="Times New Roman" w:hAnsi="Times New Roman" w:eastAsia="宋体" w:cs="Times New Roman"/>
                <w:color w:val="auto"/>
                <w:kern w:val="2"/>
                <w:sz w:val="24"/>
                <w:szCs w:val="24"/>
                <w:lang w:val="en-US" w:eastAsia="zh-CN" w:bidi="ar"/>
              </w:rPr>
              <w:t>PDF</w:t>
            </w:r>
            <w:r>
              <w:rPr>
                <w:rFonts w:hint="eastAsia" w:ascii="宋体" w:hAnsi="宋体" w:eastAsia="宋体" w:cs="宋体"/>
                <w:color w:val="auto"/>
                <w:kern w:val="2"/>
                <w:sz w:val="24"/>
                <w:szCs w:val="24"/>
                <w:lang w:val="en-US" w:eastAsia="zh-CN" w:bidi="ar"/>
              </w:rPr>
              <w:t>格式）。应经当地规划部门批准，含红线拐点坐标数据。</w:t>
            </w:r>
          </w:p>
        </w:tc>
        <w:tc>
          <w:tcPr>
            <w:tcW w:w="615" w:type="pct"/>
            <w:shd w:val="clear" w:color="auto" w:fill="auto"/>
            <w:tcMar>
              <w:top w:w="57" w:type="dxa"/>
              <w:left w:w="57" w:type="dxa"/>
              <w:bottom w:w="57" w:type="dxa"/>
              <w:right w:w="57" w:type="dxa"/>
            </w:tcMar>
            <w:vAlign w:val="center"/>
          </w:tcPr>
          <w:p w14:paraId="28DCD4B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925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00BACD50">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8C517B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344A6A4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91</w:t>
            </w:r>
            <w:r>
              <w:rPr>
                <w:rFonts w:hint="eastAsia" w:ascii="宋体" w:hAnsi="宋体" w:eastAsia="宋体" w:cs="宋体"/>
                <w:color w:val="auto"/>
                <w:kern w:val="2"/>
                <w:sz w:val="24"/>
                <w:szCs w:val="24"/>
                <w:lang w:val="en-US" w:eastAsia="zh-CN" w:bidi="ar"/>
              </w:rPr>
              <w:t>）选址位置图（</w:t>
            </w:r>
            <w:r>
              <w:rPr>
                <w:rFonts w:hint="default" w:ascii="Times New Roman" w:hAnsi="Times New Roman" w:eastAsia="宋体" w:cs="Times New Roman"/>
                <w:color w:val="auto"/>
                <w:kern w:val="2"/>
                <w:sz w:val="24"/>
                <w:szCs w:val="24"/>
                <w:lang w:val="en-US" w:eastAsia="zh-CN" w:bidi="ar"/>
              </w:rPr>
              <w:t>PDF</w:t>
            </w:r>
            <w:r>
              <w:rPr>
                <w:rFonts w:hint="eastAsia" w:ascii="宋体" w:hAnsi="宋体" w:eastAsia="宋体" w:cs="宋体"/>
                <w:color w:val="auto"/>
                <w:kern w:val="2"/>
                <w:sz w:val="24"/>
                <w:szCs w:val="24"/>
                <w:lang w:val="en-US" w:eastAsia="zh-CN" w:bidi="ar"/>
              </w:rPr>
              <w:t>格式）：本项目选址、园区四至线、园区消防站、园区变电站、园区污水处理场、园区公共管廊、园区道路等设施具体方位清晰。</w:t>
            </w:r>
          </w:p>
        </w:tc>
        <w:tc>
          <w:tcPr>
            <w:tcW w:w="615" w:type="pct"/>
            <w:shd w:val="clear" w:color="auto" w:fill="auto"/>
            <w:tcMar>
              <w:top w:w="57" w:type="dxa"/>
              <w:left w:w="57" w:type="dxa"/>
              <w:bottom w:w="57" w:type="dxa"/>
              <w:right w:w="57" w:type="dxa"/>
            </w:tcMar>
            <w:vAlign w:val="center"/>
          </w:tcPr>
          <w:p w14:paraId="756F3FD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187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43E72C8">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5FDC0E6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F0FECF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92</w:t>
            </w:r>
            <w:r>
              <w:rPr>
                <w:rFonts w:hint="eastAsia" w:ascii="宋体" w:hAnsi="宋体" w:eastAsia="宋体" w:cs="宋体"/>
                <w:color w:val="auto"/>
                <w:kern w:val="2"/>
                <w:sz w:val="24"/>
                <w:szCs w:val="24"/>
                <w:lang w:val="en-US" w:eastAsia="zh-CN" w:bidi="ar"/>
              </w:rPr>
              <w:t>）区域位置图（</w:t>
            </w:r>
            <w:r>
              <w:rPr>
                <w:rFonts w:hint="default" w:ascii="Times New Roman" w:hAnsi="Times New Roman" w:eastAsia="宋体" w:cs="Times New Roman"/>
                <w:color w:val="auto"/>
                <w:kern w:val="2"/>
                <w:sz w:val="24"/>
                <w:szCs w:val="24"/>
                <w:lang w:val="en-US" w:eastAsia="zh-CN" w:bidi="ar"/>
              </w:rPr>
              <w:t>PDF</w:t>
            </w:r>
            <w:r>
              <w:rPr>
                <w:rFonts w:hint="eastAsia" w:ascii="宋体" w:hAnsi="宋体" w:eastAsia="宋体" w:cs="宋体"/>
                <w:color w:val="auto"/>
                <w:kern w:val="2"/>
                <w:sz w:val="24"/>
                <w:szCs w:val="24"/>
                <w:lang w:val="en-US" w:eastAsia="zh-CN" w:bidi="ar"/>
              </w:rPr>
              <w:t>格式）：详细标注与周边环境的实际安全间距；注明企业用地红线外规范规定防火间距范围内相邻企业（设施、场所）重要信息，包括：企业名称、企业执行主规范、企业用地红线、邻近设施名称、火灾危险类别；厂区红线外部输电线路电压等级和杆高数据、园区道路边线位置、园区铁路线等信息。</w:t>
            </w:r>
          </w:p>
        </w:tc>
        <w:tc>
          <w:tcPr>
            <w:tcW w:w="615" w:type="pct"/>
            <w:shd w:val="clear" w:color="auto" w:fill="auto"/>
            <w:tcMar>
              <w:top w:w="57" w:type="dxa"/>
              <w:left w:w="57" w:type="dxa"/>
              <w:bottom w:w="57" w:type="dxa"/>
              <w:right w:w="57" w:type="dxa"/>
            </w:tcMar>
            <w:vAlign w:val="center"/>
          </w:tcPr>
          <w:p w14:paraId="5C0C73C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239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1D2F8D2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51FD3913">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7438711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93</w:t>
            </w:r>
            <w:r>
              <w:rPr>
                <w:rFonts w:hint="eastAsia" w:ascii="宋体" w:hAnsi="宋体" w:eastAsia="宋体" w:cs="宋体"/>
                <w:color w:val="auto"/>
                <w:kern w:val="2"/>
                <w:sz w:val="24"/>
                <w:szCs w:val="24"/>
                <w:lang w:val="en-US" w:eastAsia="zh-CN" w:bidi="ar"/>
              </w:rPr>
              <w:t>）总平面布置图（</w:t>
            </w:r>
            <w:r>
              <w:rPr>
                <w:rFonts w:hint="default" w:ascii="Times New Roman" w:hAnsi="Times New Roman" w:eastAsia="宋体" w:cs="Times New Roman"/>
                <w:color w:val="auto"/>
                <w:kern w:val="2"/>
                <w:sz w:val="24"/>
                <w:szCs w:val="24"/>
                <w:lang w:val="en-US" w:eastAsia="zh-CN" w:bidi="ar"/>
              </w:rPr>
              <w:t>DWG</w:t>
            </w:r>
            <w:r>
              <w:rPr>
                <w:rFonts w:hint="eastAsia" w:ascii="宋体" w:hAnsi="宋体" w:eastAsia="宋体" w:cs="宋体"/>
                <w:color w:val="auto"/>
                <w:kern w:val="2"/>
                <w:sz w:val="24"/>
                <w:szCs w:val="24"/>
                <w:lang w:val="en-US" w:eastAsia="zh-CN" w:bidi="ar"/>
              </w:rPr>
              <w:t>格式会议审查提供）：</w:t>
            </w:r>
          </w:p>
          <w:p w14:paraId="0919EBD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总平面布置（同时提供安全条件审查的总平面布置图对比）：符合安全生产有关法律法规、标准规范；</w:t>
            </w:r>
          </w:p>
          <w:p w14:paraId="13067A41">
            <w:pPr>
              <w:keepNext w:val="0"/>
              <w:keepLines w:val="0"/>
              <w:pageBreakBefore w:val="0"/>
              <w:widowControl w:val="0"/>
              <w:suppressLineNumbers w:val="0"/>
              <w:kinsoku/>
              <w:wordWrap/>
              <w:topLinePunct w:val="0"/>
              <w:autoSpaceDE/>
              <w:autoSpaceDN/>
              <w:bidi w:val="0"/>
              <w:spacing w:before="0" w:beforeAutospacing="0" w:after="0" w:afterAutospacing="0" w:line="280" w:lineRule="exact"/>
              <w:ind w:left="0" w:right="0"/>
              <w:jc w:val="both"/>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有相应资质单位的设计出图专用章；有风向玫瑰图、图例、技术经济指标表、建（构）筑物一览表、储罐设施一览表、设计说明等有关内容；标题栏中设计人员签名等内容完整；标明工艺装置、储存设施、变配电房、空压机房（站）、空分站、制冷间、消防泵房（消防水池）、循环水池、中央控制室、化验室、办公楼等设施定位位置，标注防火间距信息；竖向布置中建（构）筑物、道路、场地、挡土墙采用设计标高表示；厂内消防道路坡度满足规范要求。</w:t>
            </w:r>
          </w:p>
        </w:tc>
        <w:tc>
          <w:tcPr>
            <w:tcW w:w="615" w:type="pct"/>
            <w:shd w:val="clear" w:color="auto" w:fill="auto"/>
            <w:tcMar>
              <w:top w:w="57" w:type="dxa"/>
              <w:left w:w="57" w:type="dxa"/>
              <w:bottom w:w="57" w:type="dxa"/>
              <w:right w:w="57" w:type="dxa"/>
            </w:tcMar>
            <w:vAlign w:val="center"/>
          </w:tcPr>
          <w:p w14:paraId="719C68B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55B7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4626EC8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06346D3A">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37F36B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94</w:t>
            </w:r>
            <w:r>
              <w:rPr>
                <w:rFonts w:hint="eastAsia" w:ascii="宋体" w:hAnsi="宋体" w:eastAsia="宋体" w:cs="宋体"/>
                <w:color w:val="auto"/>
                <w:kern w:val="2"/>
                <w:sz w:val="24"/>
                <w:szCs w:val="24"/>
                <w:lang w:val="en-US" w:eastAsia="zh-CN" w:bidi="ar"/>
              </w:rPr>
              <w:t>）生产装置和储存设施设备平面布置图：以生产装置或储存设施为单元的平面布置图。平面布置图的设备信息（位号）与工艺流程说明及设备表保持一致。</w:t>
            </w:r>
          </w:p>
        </w:tc>
        <w:tc>
          <w:tcPr>
            <w:tcW w:w="615" w:type="pct"/>
            <w:shd w:val="clear" w:color="auto" w:fill="auto"/>
            <w:tcMar>
              <w:top w:w="57" w:type="dxa"/>
              <w:left w:w="57" w:type="dxa"/>
              <w:bottom w:w="57" w:type="dxa"/>
              <w:right w:w="57" w:type="dxa"/>
            </w:tcMar>
            <w:vAlign w:val="center"/>
          </w:tcPr>
          <w:p w14:paraId="4611E0D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A0A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0C82098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BF3125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B2C9E0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95</w:t>
            </w:r>
            <w:r>
              <w:rPr>
                <w:rFonts w:hint="eastAsia" w:ascii="宋体" w:hAnsi="宋体" w:eastAsia="宋体" w:cs="宋体"/>
                <w:color w:val="auto"/>
                <w:kern w:val="2"/>
                <w:sz w:val="24"/>
                <w:szCs w:val="24"/>
                <w:lang w:val="en-US" w:eastAsia="zh-CN" w:bidi="ar"/>
              </w:rPr>
              <w:t>）提供带控制点的工艺流程图。工艺流程图应表达完整的生产工艺过程，包括主要工艺设备名称及位号、主要工艺管道、控制方案，提交审查图纸。企业专有技术有保密要求，且设计签署了技术保密协议的项目中核心部分工艺流程图（</w:t>
            </w:r>
            <w:r>
              <w:rPr>
                <w:rFonts w:hint="default" w:ascii="Times New Roman" w:hAnsi="Times New Roman" w:eastAsia="宋体" w:cs="Times New Roman"/>
                <w:color w:val="auto"/>
                <w:kern w:val="2"/>
                <w:sz w:val="24"/>
                <w:szCs w:val="24"/>
                <w:lang w:val="en-US" w:eastAsia="zh-CN" w:bidi="ar"/>
              </w:rPr>
              <w:t>DWG</w:t>
            </w:r>
            <w:r>
              <w:rPr>
                <w:rFonts w:hint="eastAsia" w:ascii="宋体" w:hAnsi="宋体" w:eastAsia="宋体" w:cs="宋体"/>
                <w:color w:val="auto"/>
                <w:kern w:val="2"/>
                <w:sz w:val="24"/>
                <w:szCs w:val="24"/>
                <w:lang w:val="en-US" w:eastAsia="zh-CN" w:bidi="ar"/>
              </w:rPr>
              <w:t>或</w:t>
            </w:r>
            <w:r>
              <w:rPr>
                <w:rFonts w:hint="default" w:ascii="Times New Roman" w:hAnsi="Times New Roman" w:eastAsia="宋体" w:cs="Times New Roman"/>
                <w:color w:val="auto"/>
                <w:kern w:val="2"/>
                <w:sz w:val="24"/>
                <w:szCs w:val="24"/>
                <w:lang w:val="en-US" w:eastAsia="zh-CN" w:bidi="ar"/>
              </w:rPr>
              <w:t>PDF</w:t>
            </w:r>
            <w:r>
              <w:rPr>
                <w:rFonts w:hint="eastAsia" w:ascii="宋体" w:hAnsi="宋体" w:eastAsia="宋体" w:cs="宋体"/>
                <w:color w:val="auto"/>
                <w:kern w:val="2"/>
                <w:sz w:val="24"/>
                <w:szCs w:val="24"/>
                <w:lang w:val="en-US" w:eastAsia="zh-CN" w:bidi="ar"/>
              </w:rPr>
              <w:t>格式）可在会议审查时提供备查。</w:t>
            </w:r>
          </w:p>
        </w:tc>
        <w:tc>
          <w:tcPr>
            <w:tcW w:w="615" w:type="pct"/>
            <w:shd w:val="clear" w:color="auto" w:fill="auto"/>
            <w:tcMar>
              <w:top w:w="57" w:type="dxa"/>
              <w:left w:w="57" w:type="dxa"/>
              <w:bottom w:w="57" w:type="dxa"/>
              <w:right w:w="57" w:type="dxa"/>
            </w:tcMar>
            <w:vAlign w:val="center"/>
          </w:tcPr>
          <w:p w14:paraId="0081548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2DA9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6BEBA8A6">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9BC034E">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42585EC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96</w:t>
            </w:r>
            <w:r>
              <w:rPr>
                <w:rFonts w:hint="eastAsia" w:ascii="宋体" w:hAnsi="宋体" w:eastAsia="宋体" w:cs="宋体"/>
                <w:color w:val="auto"/>
                <w:kern w:val="2"/>
                <w:sz w:val="24"/>
                <w:szCs w:val="24"/>
                <w:lang w:val="en-US" w:eastAsia="zh-CN" w:bidi="ar"/>
              </w:rPr>
              <w:t>）爆炸危险区域划分图：</w:t>
            </w:r>
          </w:p>
          <w:p w14:paraId="241EECB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）以生产装置或储存设施为单元按不同的平面进行爆炸危险区域划分；</w:t>
            </w:r>
          </w:p>
          <w:p w14:paraId="0345BEE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）基于</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各单元爆炸危险区域划分图和全厂总平面布置图</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绘制全厂爆炸危险区域划分图。</w:t>
            </w:r>
          </w:p>
        </w:tc>
        <w:tc>
          <w:tcPr>
            <w:tcW w:w="615" w:type="pct"/>
            <w:shd w:val="clear" w:color="auto" w:fill="auto"/>
            <w:tcMar>
              <w:top w:w="57" w:type="dxa"/>
              <w:left w:w="57" w:type="dxa"/>
              <w:bottom w:w="57" w:type="dxa"/>
              <w:right w:w="57" w:type="dxa"/>
            </w:tcMar>
            <w:vAlign w:val="center"/>
          </w:tcPr>
          <w:p w14:paraId="28C41DB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AA2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549E3FE0">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2AE8E1D9">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32E4615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97</w:t>
            </w:r>
            <w:r>
              <w:rPr>
                <w:rFonts w:hint="eastAsia" w:ascii="宋体" w:hAnsi="宋体" w:eastAsia="宋体" w:cs="宋体"/>
                <w:color w:val="auto"/>
                <w:kern w:val="2"/>
                <w:sz w:val="24"/>
                <w:szCs w:val="24"/>
                <w:lang w:val="en-US" w:eastAsia="zh-CN" w:bidi="ar"/>
              </w:rPr>
              <w:t>）火灾报警系统图。</w:t>
            </w:r>
          </w:p>
        </w:tc>
        <w:tc>
          <w:tcPr>
            <w:tcW w:w="615" w:type="pct"/>
            <w:shd w:val="clear" w:color="auto" w:fill="auto"/>
            <w:tcMar>
              <w:top w:w="57" w:type="dxa"/>
              <w:left w:w="57" w:type="dxa"/>
              <w:bottom w:w="57" w:type="dxa"/>
              <w:right w:w="57" w:type="dxa"/>
            </w:tcMar>
            <w:vAlign w:val="center"/>
          </w:tcPr>
          <w:p w14:paraId="2FE1DAE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5D6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33341CF2">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4D82235B">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245C155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98</w:t>
            </w:r>
            <w:r>
              <w:rPr>
                <w:rFonts w:hint="eastAsia" w:ascii="宋体" w:hAnsi="宋体" w:eastAsia="宋体" w:cs="宋体"/>
                <w:b/>
                <w:bCs/>
                <w:color w:val="auto"/>
                <w:kern w:val="2"/>
                <w:sz w:val="24"/>
                <w:szCs w:val="24"/>
                <w:lang w:val="en-US" w:eastAsia="zh-CN" w:bidi="ar"/>
              </w:rPr>
              <w:t>）</w:t>
            </w:r>
            <w:r>
              <w:rPr>
                <w:rFonts w:hint="default" w:ascii="Times New Roman" w:hAnsi="Times New Roman" w:eastAsia="宋体" w:cs="Times New Roman"/>
                <w:b/>
                <w:bCs/>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可燃及有毒气体检测报警仪平面布置图：以生产装置或储存设施为单元的平面布置图。</w:t>
            </w:r>
          </w:p>
        </w:tc>
        <w:tc>
          <w:tcPr>
            <w:tcW w:w="615" w:type="pct"/>
            <w:shd w:val="clear" w:color="auto" w:fill="auto"/>
            <w:tcMar>
              <w:top w:w="57" w:type="dxa"/>
              <w:left w:w="57" w:type="dxa"/>
              <w:bottom w:w="57" w:type="dxa"/>
              <w:right w:w="57" w:type="dxa"/>
            </w:tcMar>
            <w:vAlign w:val="center"/>
          </w:tcPr>
          <w:p w14:paraId="500DF1F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6214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23" w:hRule="atLeast"/>
          <w:jc w:val="center"/>
        </w:trPr>
        <w:tc>
          <w:tcPr>
            <w:tcW w:w="350" w:type="pct"/>
            <w:vMerge w:val="continue"/>
            <w:shd w:val="clear" w:color="auto" w:fill="auto"/>
            <w:tcMar>
              <w:top w:w="57" w:type="dxa"/>
              <w:left w:w="57" w:type="dxa"/>
              <w:bottom w:w="57" w:type="dxa"/>
              <w:right w:w="57" w:type="dxa"/>
            </w:tcMar>
            <w:vAlign w:val="center"/>
          </w:tcPr>
          <w:p w14:paraId="319B6327">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514" w:type="pct"/>
            <w:vMerge w:val="continue"/>
            <w:shd w:val="clear" w:color="auto" w:fill="auto"/>
            <w:tcMar>
              <w:top w:w="57" w:type="dxa"/>
              <w:left w:w="57" w:type="dxa"/>
              <w:bottom w:w="57" w:type="dxa"/>
              <w:right w:w="57" w:type="dxa"/>
            </w:tcMar>
            <w:vAlign w:val="center"/>
          </w:tcPr>
          <w:p w14:paraId="5F9A1B51">
            <w:pPr>
              <w:keepNext w:val="0"/>
              <w:keepLines w:val="0"/>
              <w:pageBreakBefore w:val="0"/>
              <w:suppressLineNumbers w:val="0"/>
              <w:kinsoku/>
              <w:wordWrap/>
              <w:topLinePunct w:val="0"/>
              <w:autoSpaceDE/>
              <w:autoSpaceDN/>
              <w:bidi w:val="0"/>
              <w:spacing w:before="0" w:beforeAutospacing="0" w:after="0" w:afterAutospacing="0" w:line="280" w:lineRule="exact"/>
              <w:ind w:left="0" w:right="0"/>
              <w:rPr>
                <w:rFonts w:hint="default" w:ascii="Times New Roman" w:hAnsi="Times New Roman" w:cs="Times New Roman"/>
                <w:color w:val="auto"/>
                <w:sz w:val="20"/>
                <w:szCs w:val="20"/>
              </w:rPr>
            </w:pPr>
          </w:p>
        </w:tc>
        <w:tc>
          <w:tcPr>
            <w:tcW w:w="3519" w:type="pct"/>
            <w:gridSpan w:val="3"/>
            <w:shd w:val="clear" w:color="auto" w:fill="auto"/>
            <w:tcMar>
              <w:top w:w="57" w:type="dxa"/>
              <w:left w:w="57" w:type="dxa"/>
              <w:bottom w:w="57" w:type="dxa"/>
              <w:right w:w="57" w:type="dxa"/>
            </w:tcMar>
            <w:vAlign w:val="center"/>
          </w:tcPr>
          <w:p w14:paraId="59D7A83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both"/>
              <w:textAlignment w:val="center"/>
              <w:rPr>
                <w:rFonts w:hint="default" w:ascii="Times New Roman" w:hAnsi="Times New Roman" w:eastAsia="宋体" w:cs="Times New Roman"/>
                <w:b/>
                <w:bCs/>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99</w:t>
            </w:r>
            <w:r>
              <w:rPr>
                <w:rFonts w:hint="eastAsia" w:ascii="宋体" w:hAnsi="宋体" w:eastAsia="宋体" w:cs="宋体"/>
                <w:color w:val="auto"/>
                <w:kern w:val="2"/>
                <w:sz w:val="24"/>
                <w:szCs w:val="24"/>
                <w:lang w:val="en-US" w:eastAsia="zh-CN" w:bidi="ar"/>
              </w:rPr>
              <w:t>）主要安全设施一览表，包括安全阀、爆破片、可燃气体与有毒气体检测器、个体防护装备等。</w:t>
            </w:r>
          </w:p>
        </w:tc>
        <w:tc>
          <w:tcPr>
            <w:tcW w:w="615" w:type="pct"/>
            <w:shd w:val="clear" w:color="auto" w:fill="auto"/>
            <w:tcMar>
              <w:top w:w="57" w:type="dxa"/>
              <w:left w:w="57" w:type="dxa"/>
              <w:bottom w:w="57" w:type="dxa"/>
              <w:right w:w="57" w:type="dxa"/>
            </w:tcMar>
            <w:vAlign w:val="center"/>
          </w:tcPr>
          <w:p w14:paraId="33A1021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left"/>
              <w:textAlignment w:val="center"/>
              <w:rPr>
                <w:rFonts w:hint="default" w:ascii="Times New Roman" w:hAnsi="Times New Roman" w:eastAsia="宋体" w:cs="Times New Roman"/>
                <w:color w:val="auto"/>
                <w:kern w:val="2"/>
                <w:sz w:val="24"/>
                <w:szCs w:val="24"/>
              </w:rPr>
            </w:pPr>
          </w:p>
        </w:tc>
      </w:tr>
      <w:tr w14:paraId="335B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54" w:hRule="atLeast"/>
          <w:jc w:val="center"/>
        </w:trPr>
        <w:tc>
          <w:tcPr>
            <w:tcW w:w="864" w:type="pct"/>
            <w:gridSpan w:val="2"/>
            <w:shd w:val="clear" w:color="auto" w:fill="auto"/>
            <w:tcMar>
              <w:top w:w="57" w:type="dxa"/>
              <w:left w:w="57" w:type="dxa"/>
              <w:bottom w:w="57" w:type="dxa"/>
              <w:right w:w="57" w:type="dxa"/>
            </w:tcMar>
            <w:vAlign w:val="center"/>
          </w:tcPr>
          <w:p w14:paraId="2437BBB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综合意见</w:t>
            </w:r>
          </w:p>
        </w:tc>
        <w:tc>
          <w:tcPr>
            <w:tcW w:w="4135" w:type="pct"/>
            <w:gridSpan w:val="4"/>
            <w:shd w:val="clear" w:color="auto" w:fill="auto"/>
            <w:tcMar>
              <w:top w:w="57" w:type="dxa"/>
              <w:left w:w="57" w:type="dxa"/>
              <w:bottom w:w="57" w:type="dxa"/>
              <w:right w:w="57" w:type="dxa"/>
            </w:tcMar>
            <w:vAlign w:val="center"/>
          </w:tcPr>
          <w:p w14:paraId="6C24C01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80" w:lineRule="exact"/>
              <w:ind w:left="0" w:right="0"/>
              <w:jc w:val="center"/>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□通过</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□修改后通过</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□不予通过</w:t>
            </w:r>
          </w:p>
        </w:tc>
      </w:tr>
      <w:tr w14:paraId="2C54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5000" w:type="pct"/>
            <w:gridSpan w:val="6"/>
            <w:shd w:val="clear" w:color="auto" w:fill="auto"/>
            <w:tcMar>
              <w:top w:w="57" w:type="dxa"/>
              <w:left w:w="57" w:type="dxa"/>
              <w:bottom w:w="57" w:type="dxa"/>
              <w:right w:w="57" w:type="dxa"/>
            </w:tcMar>
            <w:vAlign w:val="center"/>
          </w:tcPr>
          <w:p w14:paraId="3F01549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说明：</w:t>
            </w:r>
          </w:p>
          <w:p w14:paraId="361A727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标注</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并加粗的内容为</w:t>
            </w:r>
            <w:r>
              <w:rPr>
                <w:rFonts w:hint="eastAsia" w:ascii="宋体" w:hAnsi="宋体" w:eastAsia="宋体" w:cs="宋体"/>
                <w:b/>
                <w:bCs/>
                <w:color w:val="auto"/>
                <w:kern w:val="2"/>
                <w:sz w:val="24"/>
                <w:szCs w:val="24"/>
                <w:lang w:val="en-US" w:eastAsia="zh-CN" w:bidi="ar"/>
              </w:rPr>
              <w:t>否决项</w:t>
            </w:r>
            <w:r>
              <w:rPr>
                <w:rFonts w:hint="eastAsia" w:ascii="宋体" w:hAnsi="宋体" w:eastAsia="宋体" w:cs="宋体"/>
                <w:color w:val="auto"/>
                <w:kern w:val="2"/>
                <w:sz w:val="24"/>
                <w:szCs w:val="24"/>
                <w:lang w:val="en-US" w:eastAsia="zh-CN" w:bidi="ar"/>
              </w:rPr>
              <w:t>，有带</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b/>
                <w:bCs/>
                <w:color w:val="auto"/>
                <w:kern w:val="2"/>
                <w:sz w:val="24"/>
                <w:szCs w:val="24"/>
                <w:lang w:val="en-US" w:eastAsia="zh-CN" w:bidi="ar"/>
              </w:rPr>
              <w:t>否决项</w:t>
            </w:r>
            <w:r>
              <w:rPr>
                <w:rFonts w:hint="eastAsia" w:ascii="宋体" w:hAnsi="宋体" w:eastAsia="宋体" w:cs="宋体"/>
                <w:color w:val="auto"/>
                <w:kern w:val="2"/>
                <w:sz w:val="24"/>
                <w:szCs w:val="24"/>
                <w:lang w:val="en-US" w:eastAsia="zh-CN" w:bidi="ar"/>
              </w:rPr>
              <w:t>的或</w:t>
            </w:r>
            <w:r>
              <w:rPr>
                <w:rFonts w:hint="eastAsia" w:ascii="宋体" w:hAnsi="宋体" w:eastAsia="宋体" w:cs="宋体"/>
                <w:b/>
                <w:bCs/>
                <w:color w:val="auto"/>
                <w:kern w:val="2"/>
                <w:sz w:val="24"/>
                <w:szCs w:val="24"/>
                <w:lang w:val="en-US" w:eastAsia="zh-CN" w:bidi="ar"/>
              </w:rPr>
              <w:t>不符合项</w:t>
            </w:r>
            <w:r>
              <w:rPr>
                <w:rFonts w:hint="eastAsia" w:ascii="宋体" w:hAnsi="宋体" w:eastAsia="宋体" w:cs="宋体"/>
                <w:color w:val="auto"/>
                <w:kern w:val="2"/>
                <w:sz w:val="24"/>
                <w:szCs w:val="24"/>
                <w:lang w:val="en-US" w:eastAsia="zh-CN" w:bidi="ar"/>
              </w:rPr>
              <w:t>总项超过</w:t>
            </w:r>
            <w:r>
              <w:rPr>
                <w:rFonts w:hint="default" w:ascii="Times New Roman" w:hAnsi="Times New Roman" w:eastAsia="宋体" w:cs="Times New Roman"/>
                <w:color w:val="auto"/>
                <w:kern w:val="2"/>
                <w:sz w:val="24"/>
                <w:szCs w:val="24"/>
                <w:lang w:val="en-US" w:eastAsia="zh-CN" w:bidi="ar"/>
              </w:rPr>
              <w:t>30</w:t>
            </w:r>
            <w:r>
              <w:rPr>
                <w:rFonts w:hint="eastAsia" w:ascii="宋体" w:hAnsi="宋体" w:eastAsia="宋体" w:cs="宋体"/>
                <w:color w:val="auto"/>
                <w:kern w:val="2"/>
                <w:sz w:val="24"/>
                <w:szCs w:val="24"/>
                <w:lang w:val="en-US" w:eastAsia="zh-CN" w:bidi="ar"/>
              </w:rPr>
              <w:t>个的（不含</w:t>
            </w:r>
            <w:r>
              <w:rPr>
                <w:rFonts w:hint="default" w:ascii="Times New Roman" w:hAnsi="Times New Roman" w:eastAsia="宋体" w:cs="Times New Roman"/>
                <w:color w:val="auto"/>
                <w:kern w:val="2"/>
                <w:sz w:val="24"/>
                <w:szCs w:val="24"/>
                <w:lang w:val="en-US" w:eastAsia="zh-CN" w:bidi="ar"/>
              </w:rPr>
              <w:t>30</w:t>
            </w:r>
            <w:r>
              <w:rPr>
                <w:rFonts w:hint="eastAsia" w:ascii="宋体" w:hAnsi="宋体" w:eastAsia="宋体" w:cs="宋体"/>
                <w:color w:val="auto"/>
                <w:kern w:val="2"/>
                <w:sz w:val="24"/>
                <w:szCs w:val="24"/>
                <w:lang w:val="en-US" w:eastAsia="zh-CN" w:bidi="ar"/>
              </w:rPr>
              <w:t>个），安全设施设计审查不予通过。</w:t>
            </w:r>
          </w:p>
          <w:p w14:paraId="3F18854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针对审查要点，审查专家在审查意见栏中作出</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符合</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不符合，见专家意见</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不涉及</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的结论，不符合的要简要描述问题。</w:t>
            </w:r>
          </w:p>
          <w:p w14:paraId="6F644781">
            <w:pPr>
              <w:keepNext w:val="0"/>
              <w:keepLines w:val="0"/>
              <w:pageBreakBefore w:val="0"/>
              <w:widowControl w:val="0"/>
              <w:suppressLineNumbers w:val="0"/>
              <w:kinsoku/>
              <w:wordWrap/>
              <w:topLinePunct w:val="0"/>
              <w:autoSpaceDE/>
              <w:autoSpaceDN/>
              <w:bidi w:val="0"/>
              <w:spacing w:before="0" w:beforeAutospacing="0" w:after="0" w:afterAutospacing="0" w:line="300" w:lineRule="exact"/>
              <w:ind w:left="0" w:right="0"/>
              <w:jc w:val="both"/>
              <w:rPr>
                <w:rFonts w:hint="default" w:ascii="Calibri" w:hAnsi="Calibri" w:eastAsia="宋体" w:cs="Times New Roman"/>
                <w:color w:val="auto"/>
                <w:kern w:val="2"/>
                <w:sz w:val="21"/>
                <w:szCs w:val="21"/>
              </w:rPr>
            </w:pP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专家在审查中发现审查要点未列举的其他问题，应另在专家个人意见表记录。</w:t>
            </w:r>
          </w:p>
          <w:p w14:paraId="4A62662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本要点编制依据：原国家安全监管总局《危险化学品建设项目安全设施设计专篇编制导则》（安监总厅管三〔</w:t>
            </w:r>
            <w:r>
              <w:rPr>
                <w:rFonts w:hint="default" w:ascii="Times New Roman" w:hAnsi="Times New Roman" w:eastAsia="宋体" w:cs="Times New Roman"/>
                <w:color w:val="auto"/>
                <w:kern w:val="2"/>
                <w:sz w:val="24"/>
                <w:szCs w:val="24"/>
                <w:lang w:val="en-US" w:eastAsia="zh-CN" w:bidi="ar"/>
              </w:rPr>
              <w:t>2013</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39</w:t>
            </w:r>
            <w:r>
              <w:rPr>
                <w:rFonts w:hint="eastAsia" w:ascii="宋体" w:hAnsi="宋体" w:eastAsia="宋体" w:cs="宋体"/>
                <w:color w:val="auto"/>
                <w:kern w:val="2"/>
                <w:sz w:val="24"/>
                <w:szCs w:val="24"/>
                <w:lang w:val="en-US" w:eastAsia="zh-CN" w:bidi="ar"/>
              </w:rPr>
              <w:t>号）、《危险化学品建设项目安全设施设计专篇编制导则（</w:t>
            </w:r>
            <w:r>
              <w:rPr>
                <w:rFonts w:hint="default" w:ascii="Times New Roman" w:hAnsi="Times New Roman" w:eastAsia="宋体" w:cs="Times New Roman"/>
                <w:color w:val="auto"/>
                <w:kern w:val="2"/>
                <w:sz w:val="24"/>
                <w:szCs w:val="24"/>
                <w:lang w:val="en-US" w:eastAsia="zh-CN" w:bidi="ar"/>
              </w:rPr>
              <w:t>AQ3066-2025</w:t>
            </w:r>
            <w:r>
              <w:rPr>
                <w:rFonts w:hint="eastAsia" w:ascii="宋体" w:hAnsi="宋体" w:eastAsia="宋体" w:cs="宋体"/>
                <w:color w:val="auto"/>
                <w:kern w:val="2"/>
                <w:sz w:val="24"/>
                <w:szCs w:val="24"/>
                <w:lang w:val="en-US" w:eastAsia="zh-CN" w:bidi="ar"/>
              </w:rPr>
              <w:t>）》和《危险化学品生产建设项目安全风险防控指南（试行）》（应急〔</w:t>
            </w:r>
            <w:r>
              <w:rPr>
                <w:rFonts w:hint="default" w:ascii="Times New Roman" w:hAnsi="Times New Roman" w:eastAsia="宋体" w:cs="Times New Roman"/>
                <w:color w:val="auto"/>
                <w:kern w:val="2"/>
                <w:sz w:val="24"/>
                <w:szCs w:val="24"/>
                <w:lang w:val="en-US" w:eastAsia="zh-CN" w:bidi="ar"/>
              </w:rPr>
              <w:t>2022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52</w:t>
            </w:r>
            <w:r>
              <w:rPr>
                <w:rFonts w:hint="eastAsia" w:ascii="宋体" w:hAnsi="宋体" w:eastAsia="宋体" w:cs="宋体"/>
                <w:color w:val="auto"/>
                <w:kern w:val="2"/>
                <w:sz w:val="24"/>
                <w:szCs w:val="24"/>
                <w:lang w:val="en-US" w:eastAsia="zh-CN" w:bidi="ar"/>
              </w:rPr>
              <w:t>号）等。</w:t>
            </w:r>
          </w:p>
          <w:p w14:paraId="0D42632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5.</w:t>
            </w:r>
            <w:r>
              <w:rPr>
                <w:rFonts w:hint="eastAsia" w:ascii="宋体" w:hAnsi="宋体" w:eastAsia="宋体" w:cs="宋体"/>
                <w:color w:val="auto"/>
                <w:kern w:val="2"/>
                <w:sz w:val="24"/>
                <w:szCs w:val="24"/>
                <w:lang w:val="en-US" w:eastAsia="zh-CN" w:bidi="ar"/>
              </w:rPr>
              <w:t>专篇涉及企业核心技术需要作保密处理的在相关章节简要说明，详细内容企业可以作为副本单独编印（申报时电子版不上传），会议审查时单独调阅，审查后可立即收回。</w:t>
            </w:r>
          </w:p>
          <w:p w14:paraId="6675851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6.</w:t>
            </w:r>
            <w:r>
              <w:rPr>
                <w:rFonts w:hint="eastAsia" w:ascii="宋体" w:hAnsi="宋体" w:eastAsia="宋体" w:cs="宋体"/>
                <w:color w:val="auto"/>
                <w:kern w:val="2"/>
                <w:sz w:val="24"/>
                <w:szCs w:val="24"/>
                <w:lang w:val="en-US" w:eastAsia="zh-CN" w:bidi="ar"/>
              </w:rPr>
              <w:t>本要点中条款仅作为组织审查单位和参与评审专家评审判断专篇质量的参考。审查内容包含但不限于以上要素，国家有新规定的从其规定。</w:t>
            </w:r>
          </w:p>
          <w:p w14:paraId="05C2A82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7.</w:t>
            </w:r>
            <w:r>
              <w:rPr>
                <w:rFonts w:hint="eastAsia" w:ascii="宋体" w:hAnsi="宋体" w:eastAsia="宋体" w:cs="宋体"/>
                <w:color w:val="auto"/>
                <w:kern w:val="2"/>
                <w:sz w:val="24"/>
                <w:szCs w:val="24"/>
                <w:lang w:val="en-US" w:eastAsia="zh-CN" w:bidi="ar"/>
              </w:rPr>
              <w:t>本要点适用范围为按《危险化学品建设项目安全监督管理办法》执行安全审查的项目（</w:t>
            </w:r>
            <w:r>
              <w:rPr>
                <w:rFonts w:hint="eastAsia" w:ascii="宋体" w:hAnsi="宋体" w:eastAsia="宋体" w:cs="宋体"/>
                <w:b/>
                <w:bCs/>
                <w:color w:val="auto"/>
                <w:kern w:val="2"/>
                <w:sz w:val="24"/>
                <w:szCs w:val="24"/>
                <w:lang w:val="en-US" w:eastAsia="zh-CN" w:bidi="ar"/>
              </w:rPr>
              <w:t>陆上油气长输管道除外</w:t>
            </w:r>
            <w:r>
              <w:rPr>
                <w:rFonts w:hint="eastAsia" w:ascii="宋体" w:hAnsi="宋体" w:eastAsia="宋体" w:cs="宋体"/>
                <w:color w:val="auto"/>
                <w:kern w:val="2"/>
                <w:sz w:val="24"/>
                <w:szCs w:val="24"/>
                <w:lang w:val="en-US" w:eastAsia="zh-CN" w:bidi="ar"/>
              </w:rPr>
              <w:t>），其他化工建设项目可参照执行。</w:t>
            </w:r>
          </w:p>
          <w:p w14:paraId="0D73DB1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8.</w:t>
            </w:r>
            <w:r>
              <w:rPr>
                <w:rFonts w:hint="eastAsia" w:ascii="宋体" w:hAnsi="宋体" w:eastAsia="宋体" w:cs="宋体"/>
                <w:color w:val="auto"/>
                <w:kern w:val="2"/>
                <w:sz w:val="24"/>
                <w:szCs w:val="24"/>
                <w:lang w:val="en-US" w:eastAsia="zh-CN" w:bidi="ar"/>
              </w:rPr>
              <w:t>会议审查专家组意见不一致，由专家组组长组织讨论，按少数服从多数原则确定项目是否通过。</w:t>
            </w:r>
          </w:p>
          <w:p w14:paraId="5B4AE6D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300" w:lineRule="exact"/>
              <w:ind w:left="0" w:right="0"/>
              <w:jc w:val="both"/>
              <w:textAlignment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9.</w:t>
            </w:r>
            <w:r>
              <w:rPr>
                <w:rFonts w:hint="eastAsia" w:ascii="宋体" w:hAnsi="宋体" w:eastAsia="宋体" w:cs="宋体"/>
                <w:color w:val="auto"/>
                <w:kern w:val="2"/>
                <w:sz w:val="24"/>
                <w:szCs w:val="24"/>
                <w:lang w:val="en-US" w:eastAsia="zh-CN" w:bidi="ar"/>
              </w:rPr>
              <w:t>会议审查时，会议组织单位应核实设计单位参与人员身份（签到表登记身份证件号，人证相符）。</w:t>
            </w:r>
          </w:p>
        </w:tc>
      </w:tr>
    </w:tbl>
    <w:p w14:paraId="7289FA27">
      <w:pPr>
        <w:keepNext w:val="0"/>
        <w:keepLines w:val="0"/>
        <w:widowControl w:val="0"/>
        <w:suppressLineNumbers w:val="0"/>
        <w:spacing w:before="0" w:beforeAutospacing="0" w:after="0" w:afterAutospacing="0"/>
        <w:ind w:left="0" w:right="0"/>
        <w:jc w:val="both"/>
        <w:rPr>
          <w:rFonts w:hint="default" w:ascii="Times New Roman" w:hAnsi="Times New Roman" w:eastAsia="黑体" w:cs="Times New Roman"/>
          <w:bCs/>
          <w:color w:val="auto"/>
          <w:kern w:val="2"/>
          <w:sz w:val="32"/>
          <w:szCs w:val="32"/>
        </w:rPr>
      </w:pPr>
      <w:r>
        <w:rPr>
          <w:rFonts w:hint="default" w:ascii="Times New Roman" w:hAnsi="Times New Roman" w:eastAsia="黑体" w:cs="Times New Roman"/>
          <w:bCs/>
          <w:color w:val="auto"/>
          <w:kern w:val="2"/>
          <w:sz w:val="32"/>
          <w:szCs w:val="32"/>
          <w:lang w:val="en-US" w:eastAsia="zh-CN" w:bidi="ar"/>
        </w:rPr>
        <w:br w:type="page"/>
      </w:r>
    </w:p>
    <w:p w14:paraId="00DBCE07">
      <w:pPr>
        <w:keepNext w:val="0"/>
        <w:keepLines w:val="0"/>
        <w:widowControl w:val="0"/>
        <w:suppressLineNumbers w:val="0"/>
        <w:overflowPunct w:val="0"/>
        <w:spacing w:before="0" w:beforeAutospacing="0" w:after="0" w:afterAutospacing="0" w:line="578" w:lineRule="exact"/>
        <w:ind w:left="0" w:right="0"/>
        <w:jc w:val="both"/>
        <w:rPr>
          <w:rFonts w:hint="default" w:ascii="Times New Roman" w:hAnsi="Times New Roman" w:eastAsia="黑体" w:cs="Times New Roman"/>
          <w:color w:val="auto"/>
          <w:kern w:val="2"/>
          <w:sz w:val="32"/>
          <w:szCs w:val="32"/>
        </w:rPr>
      </w:pPr>
      <w:r>
        <w:rPr>
          <w:rFonts w:hint="default" w:ascii="Times New Roman" w:hAnsi="Times New Roman" w:eastAsia="黑体" w:cs="Times New Roman"/>
          <w:color w:val="auto"/>
          <w:kern w:val="2"/>
          <w:sz w:val="32"/>
          <w:szCs w:val="32"/>
          <w:lang w:val="en-US" w:eastAsia="zh-CN" w:bidi="ar"/>
        </w:rPr>
        <w:t>附件3</w:t>
      </w:r>
    </w:p>
    <w:p w14:paraId="307FAC61">
      <w:pPr>
        <w:keepNext w:val="0"/>
        <w:keepLines w:val="0"/>
        <w:pageBreakBefore w:val="0"/>
        <w:widowControl w:val="0"/>
        <w:suppressLineNumbers w:val="0"/>
        <w:kinsoku/>
        <w:wordWrap w:val="0"/>
        <w:overflowPunct w:val="0"/>
        <w:topLinePunct w:val="0"/>
        <w:autoSpaceDE/>
        <w:autoSpaceDN/>
        <w:bidi w:val="0"/>
        <w:adjustRightInd w:val="0"/>
        <w:snapToGrid w:val="0"/>
        <w:spacing w:before="156" w:beforeLines="50" w:beforeAutospacing="0" w:after="156" w:afterLines="50" w:afterAutospacing="0" w:line="540" w:lineRule="exact"/>
        <w:ind w:left="0" w:right="0"/>
        <w:jc w:val="center"/>
        <w:textAlignment w:val="auto"/>
        <w:rPr>
          <w:rFonts w:hint="default" w:ascii="Times New Roman" w:hAnsi="Times New Roman" w:eastAsia="方正小标宋简体" w:cs="Times New Roman"/>
          <w:color w:val="auto"/>
          <w:spacing w:val="-9"/>
          <w:w w:val="90"/>
          <w:kern w:val="2"/>
          <w:sz w:val="40"/>
          <w:szCs w:val="40"/>
        </w:rPr>
      </w:pPr>
      <w:r>
        <w:rPr>
          <w:rFonts w:hint="default" w:ascii="方正小标宋简体" w:hAnsi="方正小标宋简体" w:eastAsia="方正小标宋简体" w:cs="方正小标宋简体"/>
          <w:color w:val="auto"/>
          <w:spacing w:val="-9"/>
          <w:w w:val="90"/>
          <w:kern w:val="2"/>
          <w:sz w:val="40"/>
          <w:szCs w:val="40"/>
          <w:lang w:val="en-US" w:eastAsia="zh-CN" w:bidi="ar"/>
        </w:rPr>
        <w:t>《</w:t>
      </w:r>
      <w:r>
        <w:rPr>
          <w:rFonts w:hint="default" w:ascii="Times New Roman" w:hAnsi="Times New Roman" w:eastAsia="方正小标宋简体" w:cs="Times New Roman"/>
          <w:color w:val="auto"/>
          <w:spacing w:val="-9"/>
          <w:w w:val="90"/>
          <w:kern w:val="2"/>
          <w:sz w:val="40"/>
          <w:szCs w:val="40"/>
          <w:lang w:val="en-US" w:eastAsia="zh-CN" w:bidi="ar"/>
        </w:rPr>
        <w:t>**</w:t>
      </w:r>
      <w:r>
        <w:rPr>
          <w:rFonts w:hint="default" w:ascii="方正小标宋简体" w:hAnsi="方正小标宋简体" w:eastAsia="方正小标宋简体" w:cs="方正小标宋简体"/>
          <w:color w:val="auto"/>
          <w:spacing w:val="-9"/>
          <w:w w:val="90"/>
          <w:kern w:val="2"/>
          <w:sz w:val="40"/>
          <w:szCs w:val="40"/>
          <w:lang w:val="en-US" w:eastAsia="zh-CN" w:bidi="ar"/>
        </w:rPr>
        <w:t>公司</w:t>
      </w:r>
      <w:r>
        <w:rPr>
          <w:rFonts w:hint="default" w:ascii="Times New Roman" w:hAnsi="Times New Roman" w:eastAsia="方正小标宋简体" w:cs="Times New Roman"/>
          <w:color w:val="auto"/>
          <w:spacing w:val="-9"/>
          <w:w w:val="90"/>
          <w:kern w:val="2"/>
          <w:sz w:val="40"/>
          <w:szCs w:val="40"/>
          <w:lang w:val="en-US" w:eastAsia="zh-CN" w:bidi="ar"/>
        </w:rPr>
        <w:t>**</w:t>
      </w:r>
      <w:r>
        <w:rPr>
          <w:rFonts w:hint="default" w:ascii="方正小标宋简体" w:hAnsi="方正小标宋简体" w:eastAsia="方正小标宋简体" w:cs="方正小标宋简体"/>
          <w:color w:val="auto"/>
          <w:spacing w:val="-9"/>
          <w:w w:val="90"/>
          <w:kern w:val="2"/>
          <w:sz w:val="40"/>
          <w:szCs w:val="40"/>
          <w:lang w:val="en-US" w:eastAsia="zh-CN" w:bidi="ar"/>
        </w:rPr>
        <w:t>项目安全预评价报告（或安全设施设计专篇）》专家审查意见修改对照表</w:t>
      </w:r>
      <w:r>
        <w:rPr>
          <w:rFonts w:hint="default" w:ascii="Times New Roman" w:hAnsi="Times New Roman" w:eastAsia="方正小标宋简体" w:cs="Times New Roman"/>
          <w:color w:val="auto"/>
          <w:spacing w:val="-9"/>
          <w:w w:val="90"/>
          <w:kern w:val="2"/>
          <w:sz w:val="40"/>
          <w:szCs w:val="40"/>
          <w:lang w:val="en-US" w:eastAsia="zh-CN" w:bidi="ar"/>
        </w:rPr>
        <w:br w:type="textWrapping"/>
      </w:r>
      <w:r>
        <w:rPr>
          <w:rFonts w:hint="default" w:ascii="方正小标宋简体" w:hAnsi="方正小标宋简体" w:eastAsia="方正小标宋简体" w:cs="方正小标宋简体"/>
          <w:color w:val="auto"/>
          <w:spacing w:val="-9"/>
          <w:w w:val="90"/>
          <w:kern w:val="2"/>
          <w:sz w:val="40"/>
          <w:szCs w:val="40"/>
          <w:lang w:val="en-US" w:eastAsia="zh-CN" w:bidi="ar"/>
        </w:rPr>
        <w:t>（参考模板）</w:t>
      </w:r>
    </w:p>
    <w:p w14:paraId="38BF7BE8">
      <w:pPr>
        <w:keepNext w:val="0"/>
        <w:keepLines w:val="0"/>
        <w:widowControl w:val="0"/>
        <w:suppressLineNumbers w:val="0"/>
        <w:spacing w:before="0" w:beforeAutospacing="0" w:after="0" w:afterAutospacing="0"/>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按会议审查反馈意见，企业会同安全预评价报告（或安全设施设计专篇）编制单位对安全预评价报告（或安全设施设计专篇）进行了修改，修改内容汇总如下：</w:t>
      </w:r>
    </w:p>
    <w:tbl>
      <w:tblPr>
        <w:tblStyle w:val="15"/>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28"/>
        <w:gridCol w:w="1384"/>
        <w:gridCol w:w="4493"/>
        <w:gridCol w:w="2455"/>
      </w:tblGrid>
      <w:tr w14:paraId="6C37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728"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4275E59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黑体" w:cs="Times New Roman"/>
                <w:b w:val="0"/>
                <w:bCs/>
                <w:color w:val="auto"/>
                <w:kern w:val="2"/>
                <w:sz w:val="24"/>
                <w:szCs w:val="24"/>
              </w:rPr>
            </w:pPr>
            <w:r>
              <w:rPr>
                <w:rFonts w:hint="default" w:ascii="Times New Roman" w:hAnsi="Times New Roman" w:eastAsia="黑体" w:cs="黑体"/>
                <w:b w:val="0"/>
                <w:bCs/>
                <w:color w:val="auto"/>
                <w:kern w:val="2"/>
                <w:sz w:val="24"/>
                <w:szCs w:val="24"/>
                <w:lang w:val="en-US" w:eastAsia="zh-CN" w:bidi="ar"/>
              </w:rPr>
              <w:t>序号</w:t>
            </w:r>
          </w:p>
        </w:tc>
        <w:tc>
          <w:tcPr>
            <w:tcW w:w="1384"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3EBD0D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黑体" w:cs="Times New Roman"/>
                <w:b w:val="0"/>
                <w:bCs/>
                <w:color w:val="auto"/>
                <w:kern w:val="2"/>
                <w:sz w:val="24"/>
                <w:szCs w:val="24"/>
              </w:rPr>
            </w:pPr>
            <w:r>
              <w:rPr>
                <w:rFonts w:hint="default" w:ascii="Times New Roman" w:hAnsi="Times New Roman" w:eastAsia="黑体" w:cs="黑体"/>
                <w:b w:val="0"/>
                <w:bCs/>
                <w:color w:val="auto"/>
                <w:kern w:val="2"/>
                <w:sz w:val="24"/>
                <w:szCs w:val="24"/>
                <w:lang w:val="en-US" w:eastAsia="zh-CN" w:bidi="ar"/>
              </w:rPr>
              <w:t>类别</w:t>
            </w: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7B80F0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黑体" w:cs="Times New Roman"/>
                <w:b w:val="0"/>
                <w:bCs/>
                <w:color w:val="auto"/>
                <w:kern w:val="2"/>
                <w:sz w:val="24"/>
                <w:szCs w:val="24"/>
              </w:rPr>
            </w:pPr>
            <w:r>
              <w:rPr>
                <w:rFonts w:hint="default" w:ascii="Times New Roman" w:hAnsi="Times New Roman" w:eastAsia="黑体" w:cs="黑体"/>
                <w:b w:val="0"/>
                <w:bCs/>
                <w:color w:val="auto"/>
                <w:kern w:val="2"/>
                <w:sz w:val="24"/>
                <w:szCs w:val="24"/>
                <w:lang w:val="en-US" w:eastAsia="zh-CN" w:bidi="ar"/>
              </w:rPr>
              <w:t>审查意见</w:t>
            </w: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AD4EF2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黑体" w:cs="Times New Roman"/>
                <w:b w:val="0"/>
                <w:bCs/>
                <w:color w:val="auto"/>
                <w:kern w:val="2"/>
                <w:sz w:val="24"/>
                <w:szCs w:val="24"/>
              </w:rPr>
            </w:pPr>
            <w:r>
              <w:rPr>
                <w:rFonts w:hint="default" w:ascii="Times New Roman" w:hAnsi="Times New Roman" w:eastAsia="黑体" w:cs="黑体"/>
                <w:b w:val="0"/>
                <w:bCs/>
                <w:color w:val="auto"/>
                <w:kern w:val="2"/>
                <w:sz w:val="24"/>
                <w:szCs w:val="24"/>
                <w:lang w:val="en-US" w:eastAsia="zh-CN" w:bidi="ar"/>
              </w:rPr>
              <w:t>修改说明</w:t>
            </w:r>
          </w:p>
        </w:tc>
      </w:tr>
      <w:tr w14:paraId="1A25B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restart"/>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CDE3328">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val="0"/>
                <w:color w:val="auto"/>
                <w:kern w:val="2"/>
                <w:sz w:val="24"/>
                <w:szCs w:val="24"/>
              </w:rPr>
            </w:pPr>
            <w:r>
              <w:rPr>
                <w:rFonts w:hint="eastAsia" w:ascii="Times New Roman" w:hAnsi="Times New Roman" w:eastAsia="宋体" w:cs="宋体"/>
                <w:b/>
                <w:bCs w:val="0"/>
                <w:color w:val="auto"/>
                <w:kern w:val="2"/>
                <w:sz w:val="24"/>
                <w:szCs w:val="24"/>
                <w:lang w:val="en-US" w:eastAsia="zh-CN" w:bidi="ar"/>
              </w:rPr>
              <w:t>一</w:t>
            </w:r>
          </w:p>
        </w:tc>
        <w:tc>
          <w:tcPr>
            <w:tcW w:w="1384" w:type="dxa"/>
            <w:vMerge w:val="restart"/>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1F8DDF83">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eastAsia" w:ascii="Times New Roman" w:hAnsi="Times New Roman" w:eastAsia="宋体" w:cs="宋体"/>
                <w:color w:val="auto"/>
                <w:kern w:val="2"/>
                <w:sz w:val="24"/>
                <w:szCs w:val="24"/>
                <w:lang w:val="en-US" w:eastAsia="zh-CN" w:bidi="ar"/>
              </w:rPr>
              <w:t>专家组</w:t>
            </w:r>
          </w:p>
          <w:p w14:paraId="10DAE199">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eastAsia" w:ascii="Times New Roman" w:hAnsi="Times New Roman" w:eastAsia="宋体" w:cs="宋体"/>
                <w:color w:val="auto"/>
                <w:kern w:val="2"/>
                <w:sz w:val="24"/>
                <w:szCs w:val="24"/>
                <w:lang w:val="en-US" w:eastAsia="zh-CN" w:bidi="ar"/>
              </w:rPr>
              <w:t>综合</w:t>
            </w:r>
          </w:p>
          <w:p w14:paraId="39D0E838">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eastAsia" w:ascii="Times New Roman" w:hAnsi="Times New Roman" w:eastAsia="宋体" w:cs="宋体"/>
                <w:color w:val="auto"/>
                <w:kern w:val="2"/>
                <w:sz w:val="24"/>
                <w:szCs w:val="24"/>
                <w:lang w:val="en-US" w:eastAsia="zh-CN" w:bidi="ar"/>
              </w:rPr>
              <w:t>意见</w:t>
            </w: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2CC9831D">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0"/>
                <w:sz w:val="24"/>
                <w:szCs w:val="24"/>
              </w:rPr>
            </w:pPr>
            <w:r>
              <w:rPr>
                <w:rFonts w:hint="eastAsia" w:ascii="Times New Roman" w:hAnsi="Times New Roman" w:eastAsia="宋体" w:cs="宋体"/>
                <w:color w:val="auto"/>
                <w:kern w:val="0"/>
                <w:sz w:val="24"/>
                <w:szCs w:val="24"/>
                <w:lang w:val="en-US" w:eastAsia="zh-CN" w:bidi="ar"/>
              </w:rPr>
              <w:t>例：</w:t>
            </w:r>
            <w:r>
              <w:rPr>
                <w:rFonts w:hint="default" w:ascii="Times New Roman" w:hAnsi="Times New Roman" w:eastAsia="宋体" w:cs="Times New Roman"/>
                <w:color w:val="auto"/>
                <w:kern w:val="0"/>
                <w:sz w:val="24"/>
                <w:szCs w:val="24"/>
                <w:lang w:val="en-US" w:eastAsia="zh-CN" w:bidi="ar"/>
              </w:rPr>
              <w:t>1</w:t>
            </w:r>
            <w:r>
              <w:rPr>
                <w:rFonts w:hint="eastAsia" w:ascii="Times New Roman" w:hAnsi="Times New Roman" w:eastAsia="宋体" w:cs="宋体"/>
                <w:color w:val="auto"/>
                <w:kern w:val="0"/>
                <w:sz w:val="24"/>
                <w:szCs w:val="24"/>
                <w:lang w:val="en-US" w:eastAsia="zh-CN" w:bidi="ar"/>
              </w:rPr>
              <w:t>、项目采用一路电源供电，不满足双重电源供电要求；</w:t>
            </w: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271A23CF">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eastAsia" w:ascii="Times New Roman" w:hAnsi="Times New Roman" w:eastAsia="宋体" w:cs="宋体"/>
                <w:color w:val="auto"/>
                <w:kern w:val="0"/>
                <w:sz w:val="24"/>
                <w:szCs w:val="24"/>
                <w:lang w:val="en-US" w:eastAsia="zh-CN" w:bidi="ar"/>
              </w:rPr>
              <w:t>例：</w:t>
            </w:r>
            <w:r>
              <w:rPr>
                <w:rFonts w:hint="default" w:ascii="Times New Roman" w:hAnsi="Times New Roman" w:eastAsia="宋体" w:cs="Times New Roman"/>
                <w:color w:val="auto"/>
                <w:kern w:val="0"/>
                <w:sz w:val="24"/>
                <w:szCs w:val="24"/>
                <w:lang w:val="en-US" w:eastAsia="zh-CN" w:bidi="ar"/>
              </w:rPr>
              <w:t>P278</w:t>
            </w:r>
            <w:r>
              <w:rPr>
                <w:rFonts w:hint="eastAsia" w:ascii="Times New Roman" w:hAnsi="Times New Roman" w:eastAsia="宋体" w:cs="宋体"/>
                <w:color w:val="auto"/>
                <w:kern w:val="0"/>
                <w:sz w:val="24"/>
                <w:szCs w:val="24"/>
                <w:lang w:val="en-US" w:eastAsia="zh-CN" w:bidi="ar"/>
              </w:rPr>
              <w:t>页</w:t>
            </w:r>
            <w:r>
              <w:rPr>
                <w:rFonts w:hint="default" w:ascii="Times New Roman" w:hAnsi="Times New Roman" w:eastAsia="宋体" w:cs="Times New Roman"/>
                <w:color w:val="auto"/>
                <w:kern w:val="0"/>
                <w:sz w:val="24"/>
                <w:szCs w:val="24"/>
                <w:lang w:val="en-US" w:eastAsia="zh-CN" w:bidi="ar"/>
              </w:rPr>
              <w:t>7.2.4.1</w:t>
            </w:r>
            <w:r>
              <w:rPr>
                <w:rFonts w:hint="eastAsia" w:ascii="Times New Roman" w:hAnsi="Times New Roman" w:eastAsia="宋体" w:cs="宋体"/>
                <w:color w:val="auto"/>
                <w:kern w:val="0"/>
                <w:sz w:val="24"/>
                <w:szCs w:val="24"/>
                <w:lang w:val="en-US" w:eastAsia="zh-CN" w:bidi="ar"/>
              </w:rPr>
              <w:t>节已补充双重电源供电</w:t>
            </w:r>
            <w:r>
              <w:rPr>
                <w:rFonts w:hint="default" w:ascii="Times New Roman" w:hAnsi="Times New Roman" w:eastAsia="宋体" w:cs="Times New Roman"/>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w:t>
            </w:r>
          </w:p>
        </w:tc>
      </w:tr>
      <w:tr w14:paraId="6931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66A025A">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0D1BACE">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4CD498E7">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0"/>
                <w:sz w:val="24"/>
                <w:szCs w:val="24"/>
              </w:rPr>
            </w:pPr>
            <w:r>
              <w:rPr>
                <w:rFonts w:hint="default" w:ascii="Times New Roman" w:hAnsi="Times New Roman" w:eastAsia="宋体" w:cs="Times New Roman"/>
                <w:bCs/>
                <w:color w:val="auto"/>
                <w:kern w:val="0"/>
                <w:sz w:val="24"/>
                <w:szCs w:val="24"/>
                <w:lang w:val="en-US" w:eastAsia="zh-CN" w:bidi="ar"/>
              </w:rPr>
              <w:t>……</w:t>
            </w: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AD71C89">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Cs/>
                <w:color w:val="auto"/>
                <w:kern w:val="0"/>
                <w:sz w:val="24"/>
                <w:szCs w:val="24"/>
                <w:lang w:val="en-US" w:eastAsia="zh-CN" w:bidi="ar"/>
              </w:rPr>
              <w:t>……</w:t>
            </w:r>
          </w:p>
        </w:tc>
      </w:tr>
      <w:tr w14:paraId="70FA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10999DA0">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714878D">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80A4FE9">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0"/>
                <w:sz w:val="24"/>
                <w:szCs w:val="24"/>
              </w:rPr>
            </w:pPr>
            <w:r>
              <w:rPr>
                <w:rFonts w:hint="default" w:ascii="Times New Roman" w:hAnsi="Times New Roman" w:eastAsia="宋体" w:cs="Times New Roman"/>
                <w:bCs/>
                <w:color w:val="auto"/>
                <w:kern w:val="0"/>
                <w:sz w:val="24"/>
                <w:szCs w:val="24"/>
                <w:lang w:val="en-US" w:eastAsia="zh-CN" w:bidi="ar"/>
              </w:rPr>
              <w:t>……</w:t>
            </w: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156662DD">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Cs/>
                <w:color w:val="auto"/>
                <w:kern w:val="0"/>
                <w:sz w:val="24"/>
                <w:szCs w:val="24"/>
                <w:lang w:val="en-US" w:eastAsia="zh-CN" w:bidi="ar"/>
              </w:rPr>
              <w:t>……</w:t>
            </w:r>
          </w:p>
        </w:tc>
      </w:tr>
      <w:tr w14:paraId="6E1E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7483E387">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A91A07D">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7733DAAB">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0"/>
                <w:sz w:val="24"/>
                <w:szCs w:val="24"/>
              </w:rPr>
            </w:pP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C03FE4C">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p>
        </w:tc>
      </w:tr>
      <w:tr w14:paraId="4918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3FD374E">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5971E5B">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2960521">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0"/>
                <w:sz w:val="24"/>
                <w:szCs w:val="24"/>
              </w:rPr>
            </w:pP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7A03230A">
            <w:pPr>
              <w:pStyle w:val="13"/>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p>
        </w:tc>
      </w:tr>
      <w:tr w14:paraId="606A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20DC45D9">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70CD2755">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61F76066">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0"/>
                <w:sz w:val="24"/>
                <w:szCs w:val="24"/>
              </w:rPr>
            </w:pP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FDCEF22">
            <w:pPr>
              <w:pStyle w:val="13"/>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p>
        </w:tc>
      </w:tr>
      <w:tr w14:paraId="4FD1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restart"/>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1C3025DE">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eastAsia" w:ascii="Times New Roman" w:hAnsi="Times New Roman" w:eastAsia="宋体" w:cs="宋体"/>
                <w:color w:val="auto"/>
                <w:kern w:val="2"/>
                <w:sz w:val="24"/>
                <w:szCs w:val="24"/>
                <w:lang w:val="en-US" w:eastAsia="zh-CN" w:bidi="ar"/>
              </w:rPr>
              <w:t>二</w:t>
            </w:r>
          </w:p>
        </w:tc>
        <w:tc>
          <w:tcPr>
            <w:tcW w:w="1384" w:type="dxa"/>
            <w:vMerge w:val="restart"/>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E5D308D">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eastAsia" w:ascii="Times New Roman" w:hAnsi="Times New Roman" w:eastAsia="宋体" w:cs="宋体"/>
                <w:color w:val="auto"/>
                <w:kern w:val="2"/>
                <w:sz w:val="24"/>
                <w:szCs w:val="24"/>
                <w:lang w:val="en-US" w:eastAsia="zh-CN" w:bidi="ar"/>
              </w:rPr>
              <w:t>专家</w:t>
            </w: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宋体"/>
                <w:color w:val="auto"/>
                <w:kern w:val="2"/>
                <w:sz w:val="24"/>
                <w:szCs w:val="24"/>
                <w:lang w:val="en-US" w:eastAsia="zh-CN" w:bidi="ar"/>
              </w:rPr>
              <w:t>个人审查意见</w:t>
            </w: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13084E5">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4"/>
                <w:szCs w:val="24"/>
              </w:rPr>
            </w:pPr>
            <w:r>
              <w:rPr>
                <w:rFonts w:hint="eastAsia" w:ascii="Times New Roman" w:hAnsi="Times New Roman" w:eastAsia="宋体" w:cs="宋体"/>
                <w:color w:val="auto"/>
                <w:kern w:val="0"/>
                <w:sz w:val="24"/>
                <w:szCs w:val="24"/>
                <w:lang w:val="en-US" w:eastAsia="zh-CN" w:bidi="ar"/>
              </w:rPr>
              <w:t>例</w:t>
            </w:r>
            <w:r>
              <w:rPr>
                <w:rFonts w:hint="default" w:ascii="Times New Roman" w:hAnsi="Times New Roman" w:eastAsia="宋体" w:cs="Times New Roman"/>
                <w:color w:val="auto"/>
                <w:kern w:val="0"/>
                <w:sz w:val="24"/>
                <w:szCs w:val="24"/>
                <w:lang w:val="en-US" w:eastAsia="zh-CN" w:bidi="ar"/>
              </w:rPr>
              <w:t>1</w:t>
            </w:r>
            <w:r>
              <w:rPr>
                <w:rFonts w:hint="eastAsia" w:ascii="Times New Roman" w:hAnsi="Times New Roman" w:eastAsia="宋体" w:cs="宋体"/>
                <w:color w:val="auto"/>
                <w:kern w:val="0"/>
                <w:sz w:val="24"/>
                <w:szCs w:val="24"/>
                <w:lang w:val="en-US" w:eastAsia="zh-CN" w:bidi="ar"/>
              </w:rPr>
              <w:t>、完善引用标准、文件。如《湖北省危险化学品禁止、限（控）制、淘汰和鼓励政策目录清单（</w:t>
            </w:r>
            <w:r>
              <w:rPr>
                <w:rFonts w:hint="default" w:ascii="Times New Roman" w:hAnsi="Times New Roman" w:eastAsia="宋体" w:cs="Times New Roman"/>
                <w:color w:val="auto"/>
                <w:kern w:val="0"/>
                <w:sz w:val="24"/>
                <w:szCs w:val="24"/>
                <w:lang w:val="en-US" w:eastAsia="zh-CN" w:bidi="ar"/>
              </w:rPr>
              <w:t>2025</w:t>
            </w:r>
            <w:r>
              <w:rPr>
                <w:rFonts w:hint="eastAsia" w:ascii="Times New Roman" w:hAnsi="Times New Roman" w:eastAsia="宋体" w:cs="宋体"/>
                <w:color w:val="auto"/>
                <w:kern w:val="0"/>
                <w:sz w:val="24"/>
                <w:szCs w:val="24"/>
                <w:lang w:val="en-US" w:eastAsia="zh-CN" w:bidi="ar"/>
              </w:rPr>
              <w:t>年本）》（鄂应急发〔</w:t>
            </w:r>
            <w:r>
              <w:rPr>
                <w:rFonts w:hint="default" w:ascii="Times New Roman" w:hAnsi="Times New Roman" w:eastAsia="宋体" w:cs="Times New Roman"/>
                <w:color w:val="auto"/>
                <w:kern w:val="0"/>
                <w:sz w:val="24"/>
                <w:szCs w:val="24"/>
                <w:lang w:val="en-US" w:eastAsia="zh-CN" w:bidi="ar"/>
              </w:rPr>
              <w:t>2025</w:t>
            </w:r>
            <w:r>
              <w:rPr>
                <w:rFonts w:hint="eastAsia" w:ascii="Times New Roman" w:hAnsi="Times New Roman"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9</w:t>
            </w:r>
            <w:r>
              <w:rPr>
                <w:rFonts w:hint="eastAsia" w:ascii="Times New Roman" w:hAnsi="Times New Roman" w:eastAsia="宋体" w:cs="宋体"/>
                <w:color w:val="auto"/>
                <w:kern w:val="0"/>
                <w:sz w:val="24"/>
                <w:szCs w:val="24"/>
                <w:lang w:val="en-US" w:eastAsia="zh-CN" w:bidi="ar"/>
              </w:rPr>
              <w:t>号）；</w:t>
            </w: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10BD87FB">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eastAsia" w:ascii="Times New Roman" w:hAnsi="Times New Roman" w:eastAsia="宋体" w:cs="宋体"/>
                <w:color w:val="auto"/>
                <w:kern w:val="0"/>
                <w:sz w:val="24"/>
                <w:szCs w:val="24"/>
                <w:lang w:val="en-US" w:eastAsia="zh-CN" w:bidi="ar"/>
              </w:rPr>
              <w:t>例</w:t>
            </w:r>
            <w:r>
              <w:rPr>
                <w:rFonts w:hint="default" w:ascii="Times New Roman" w:hAnsi="Times New Roman" w:eastAsia="宋体" w:cs="Times New Roman"/>
                <w:color w:val="auto"/>
                <w:kern w:val="0"/>
                <w:sz w:val="24"/>
                <w:szCs w:val="24"/>
                <w:lang w:val="en-US" w:eastAsia="zh-CN" w:bidi="ar"/>
              </w:rPr>
              <w:t>P10</w:t>
            </w:r>
            <w:r>
              <w:rPr>
                <w:rFonts w:hint="eastAsia" w:ascii="Times New Roman" w:hAnsi="Times New Roman" w:eastAsia="宋体" w:cs="宋体"/>
                <w:color w:val="auto"/>
                <w:kern w:val="0"/>
                <w:sz w:val="24"/>
                <w:szCs w:val="24"/>
                <w:lang w:val="en-US" w:eastAsia="zh-CN" w:bidi="ar"/>
              </w:rPr>
              <w:t>页</w:t>
            </w:r>
            <w:r>
              <w:rPr>
                <w:rFonts w:hint="default" w:ascii="Times New Roman" w:hAnsi="Times New Roman" w:eastAsia="宋体" w:cs="Times New Roman"/>
                <w:color w:val="auto"/>
                <w:kern w:val="0"/>
                <w:sz w:val="24"/>
                <w:szCs w:val="24"/>
                <w:lang w:val="en-US" w:eastAsia="zh-CN" w:bidi="ar"/>
              </w:rPr>
              <w:t>1.3</w:t>
            </w:r>
            <w:r>
              <w:rPr>
                <w:rFonts w:hint="eastAsia" w:ascii="Times New Roman" w:hAnsi="Times New Roman" w:eastAsia="宋体" w:cs="宋体"/>
                <w:color w:val="auto"/>
                <w:kern w:val="0"/>
                <w:sz w:val="24"/>
                <w:szCs w:val="24"/>
                <w:lang w:val="en-US" w:eastAsia="zh-CN" w:bidi="ar"/>
              </w:rPr>
              <w:t>节已完善</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宋体"/>
                <w:color w:val="auto"/>
                <w:kern w:val="0"/>
                <w:sz w:val="24"/>
                <w:szCs w:val="24"/>
                <w:lang w:val="en-US" w:eastAsia="zh-CN" w:bidi="ar"/>
              </w:rPr>
              <w:t>文件</w:t>
            </w:r>
            <w:r>
              <w:rPr>
                <w:rFonts w:hint="default" w:ascii="Times New Roman" w:hAnsi="Times New Roman" w:eastAsia="宋体" w:cs="Times New Roman"/>
                <w:bCs/>
                <w:color w:val="auto"/>
                <w:kern w:val="0"/>
                <w:sz w:val="24"/>
                <w:szCs w:val="24"/>
                <w:lang w:val="en-US" w:eastAsia="zh-CN" w:bidi="ar"/>
              </w:rPr>
              <w:t>……</w:t>
            </w:r>
            <w:r>
              <w:rPr>
                <w:rFonts w:hint="eastAsia" w:ascii="Times New Roman" w:hAnsi="Times New Roman" w:eastAsia="宋体" w:cs="宋体"/>
                <w:color w:val="auto"/>
                <w:kern w:val="0"/>
                <w:sz w:val="24"/>
                <w:szCs w:val="24"/>
                <w:lang w:val="en-US" w:eastAsia="zh-CN" w:bidi="ar"/>
              </w:rPr>
              <w:t>）。</w:t>
            </w:r>
          </w:p>
        </w:tc>
      </w:tr>
      <w:tr w14:paraId="5530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CF7EDD2">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1D9E933">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C2F913C">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bCs/>
                <w:color w:val="auto"/>
                <w:kern w:val="0"/>
                <w:sz w:val="24"/>
                <w:szCs w:val="24"/>
                <w:lang w:val="en-US" w:eastAsia="zh-CN" w:bidi="ar"/>
              </w:rPr>
              <w:t>……</w:t>
            </w: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A0DBFA3">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Cs/>
                <w:color w:val="auto"/>
                <w:kern w:val="0"/>
                <w:sz w:val="24"/>
                <w:szCs w:val="24"/>
                <w:lang w:val="en-US" w:eastAsia="zh-CN" w:bidi="ar"/>
              </w:rPr>
              <w:t>……</w:t>
            </w:r>
          </w:p>
        </w:tc>
      </w:tr>
      <w:tr w14:paraId="2EC1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1ADB412B">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8207E3E">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4B1BDD70">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bCs/>
                <w:color w:val="auto"/>
                <w:kern w:val="0"/>
                <w:sz w:val="24"/>
                <w:szCs w:val="24"/>
                <w:lang w:val="en-US" w:eastAsia="zh-CN" w:bidi="ar"/>
              </w:rPr>
              <w:t>……</w:t>
            </w: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60CCF5FF">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Cs/>
                <w:color w:val="auto"/>
                <w:kern w:val="0"/>
                <w:sz w:val="24"/>
                <w:szCs w:val="24"/>
                <w:lang w:val="en-US" w:eastAsia="zh-CN" w:bidi="ar"/>
              </w:rPr>
              <w:t>……</w:t>
            </w:r>
          </w:p>
        </w:tc>
      </w:tr>
      <w:tr w14:paraId="2C882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587973E">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9A18251">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5A788C6">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4"/>
                <w:szCs w:val="24"/>
              </w:rPr>
            </w:pP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4F5CDA4B">
            <w:pPr>
              <w:pStyle w:val="13"/>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p>
        </w:tc>
      </w:tr>
      <w:tr w14:paraId="7C2E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7F88F3D0">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6DA9E066">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89F62EF">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4"/>
                <w:szCs w:val="24"/>
              </w:rPr>
            </w:pP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103FF58">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p>
        </w:tc>
      </w:tr>
      <w:tr w14:paraId="3B2AC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943CAEB">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74014B54">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26ABF7ED">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4"/>
                <w:szCs w:val="24"/>
              </w:rPr>
            </w:pP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6C6B64B">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p>
        </w:tc>
      </w:tr>
      <w:tr w14:paraId="559D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restart"/>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792A9298">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eastAsia" w:ascii="Times New Roman" w:hAnsi="Times New Roman" w:eastAsia="宋体" w:cs="宋体"/>
                <w:color w:val="auto"/>
                <w:kern w:val="2"/>
                <w:sz w:val="24"/>
                <w:szCs w:val="24"/>
                <w:lang w:val="en-US" w:eastAsia="zh-CN" w:bidi="ar"/>
              </w:rPr>
              <w:t>二</w:t>
            </w:r>
          </w:p>
        </w:tc>
        <w:tc>
          <w:tcPr>
            <w:tcW w:w="1384" w:type="dxa"/>
            <w:vMerge w:val="restart"/>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395B4593">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r>
              <w:rPr>
                <w:rFonts w:hint="eastAsia" w:ascii="Times New Roman" w:hAnsi="Times New Roman" w:eastAsia="宋体" w:cs="宋体"/>
                <w:color w:val="auto"/>
                <w:kern w:val="2"/>
                <w:sz w:val="24"/>
                <w:szCs w:val="24"/>
                <w:lang w:val="en-US" w:eastAsia="zh-CN" w:bidi="ar"/>
              </w:rPr>
              <w:t>专家</w:t>
            </w:r>
            <w:r>
              <w:rPr>
                <w:rFonts w:hint="default" w:ascii="Times New Roman" w:hAnsi="Times New Roman" w:eastAsia="宋体" w:cs="Times New Roman"/>
                <w:color w:val="auto"/>
                <w:kern w:val="2"/>
                <w:sz w:val="24"/>
                <w:szCs w:val="24"/>
                <w:lang w:val="en-US" w:eastAsia="zh-CN" w:bidi="ar"/>
              </w:rPr>
              <w:t>***</w:t>
            </w:r>
            <w:r>
              <w:rPr>
                <w:rFonts w:hint="eastAsia" w:ascii="Times New Roman" w:hAnsi="Times New Roman" w:eastAsia="宋体" w:cs="宋体"/>
                <w:color w:val="auto"/>
                <w:kern w:val="2"/>
                <w:sz w:val="24"/>
                <w:szCs w:val="24"/>
                <w:lang w:val="en-US" w:eastAsia="zh-CN" w:bidi="ar"/>
              </w:rPr>
              <w:t>个人审查意见</w:t>
            </w: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6F98995">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4"/>
                <w:szCs w:val="24"/>
              </w:rPr>
            </w:pP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1E3515F8">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p>
        </w:tc>
      </w:tr>
      <w:tr w14:paraId="46DE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413C7941">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1EC58FB0">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1BB65D4B">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4"/>
                <w:szCs w:val="24"/>
              </w:rPr>
            </w:pP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244F6FD5">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p>
        </w:tc>
      </w:tr>
      <w:tr w14:paraId="070A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28"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ACBD6F7">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1384" w:type="dxa"/>
            <w:vMerge w:val="continue"/>
            <w:tcBorders>
              <w:top w:val="nil"/>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4A3D1770">
            <w:pPr>
              <w:keepNext w:val="0"/>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4"/>
                <w:szCs w:val="20"/>
              </w:rPr>
            </w:pPr>
          </w:p>
        </w:tc>
        <w:tc>
          <w:tcPr>
            <w:tcW w:w="4493"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020196EE">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4"/>
                <w:szCs w:val="24"/>
              </w:rPr>
            </w:pPr>
          </w:p>
        </w:tc>
        <w:tc>
          <w:tcPr>
            <w:tcW w:w="2455" w:type="dxa"/>
            <w:tcBorders>
              <w:top w:val="single" w:color="auto" w:sz="4" w:space="0"/>
              <w:left w:val="single" w:color="auto" w:sz="4" w:space="0"/>
              <w:bottom w:val="single" w:color="auto" w:sz="4" w:space="0"/>
              <w:right w:val="single" w:color="auto" w:sz="4" w:space="0"/>
            </w:tcBorders>
            <w:shd w:val="clear" w:color="auto" w:fill="auto"/>
            <w:tcMar>
              <w:top w:w="57" w:type="dxa"/>
              <w:left w:w="108" w:type="dxa"/>
              <w:bottom w:w="57" w:type="dxa"/>
              <w:right w:w="108" w:type="dxa"/>
            </w:tcMar>
            <w:vAlign w:val="center"/>
          </w:tcPr>
          <w:p w14:paraId="5F1EFF3B">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4"/>
                <w:szCs w:val="24"/>
              </w:rPr>
            </w:pPr>
          </w:p>
        </w:tc>
      </w:tr>
    </w:tbl>
    <w:p w14:paraId="18F44040">
      <w:pPr>
        <w:keepNext w:val="0"/>
        <w:keepLines w:val="0"/>
        <w:widowControl w:val="0"/>
        <w:suppressLineNumbers w:val="0"/>
        <w:wordWrap w:val="0"/>
        <w:spacing w:before="0" w:beforeAutospacing="0" w:after="0" w:afterAutospacing="0" w:line="578" w:lineRule="exact"/>
        <w:ind w:left="0" w:right="0"/>
        <w:jc w:val="righ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湖北</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公司（建设单位、预评价单位或设计单位双盖章）</w:t>
      </w:r>
      <w:r>
        <w:rPr>
          <w:rFonts w:hint="eastAsia" w:ascii="Times New Roman" w:hAnsi="Times New Roman" w:eastAsia="宋体" w:cs="Times New Roman"/>
          <w:color w:val="auto"/>
          <w:kern w:val="2"/>
          <w:sz w:val="24"/>
          <w:szCs w:val="24"/>
          <w:lang w:val="en-US" w:eastAsia="zh-CN" w:bidi="ar"/>
        </w:rPr>
        <w:t xml:space="preserve">   </w:t>
      </w:r>
    </w:p>
    <w:p w14:paraId="1052988E">
      <w:pPr>
        <w:keepNext w:val="0"/>
        <w:keepLines w:val="0"/>
        <w:widowControl w:val="0"/>
        <w:suppressLineNumbers w:val="0"/>
        <w:wordWrap w:val="0"/>
        <w:spacing w:before="0" w:beforeAutospacing="0" w:after="0" w:afterAutospacing="0" w:line="578" w:lineRule="exact"/>
        <w:ind w:left="0" w:right="0"/>
        <w:jc w:val="righ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20**</w:t>
      </w:r>
      <w:r>
        <w:rPr>
          <w:rFonts w:hint="eastAsia" w:ascii="宋体" w:hAnsi="宋体" w:eastAsia="宋体" w:cs="宋体"/>
          <w:color w:val="auto"/>
          <w:kern w:val="2"/>
          <w:sz w:val="24"/>
          <w:szCs w:val="24"/>
          <w:lang w:val="en-US" w:eastAsia="zh-CN" w:bidi="ar"/>
        </w:rPr>
        <w:t>年</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月</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日</w:t>
      </w:r>
      <w:r>
        <w:rPr>
          <w:rFonts w:hint="eastAsia" w:ascii="Times New Roman" w:hAnsi="Times New Roman" w:eastAsia="宋体" w:cs="Times New Roman"/>
          <w:color w:val="auto"/>
          <w:kern w:val="2"/>
          <w:sz w:val="24"/>
          <w:szCs w:val="24"/>
          <w:lang w:val="en-US" w:eastAsia="zh-CN" w:bidi="ar"/>
        </w:rPr>
        <w:t xml:space="preserve">        </w:t>
      </w:r>
      <w:r>
        <w:rPr>
          <w:rFonts w:hint="eastAsia" w:ascii="Times New Roman" w:hAnsi="Times New Roman" w:eastAsia="宋体" w:cs="Times New Roman"/>
          <w:color w:val="auto"/>
          <w:kern w:val="2"/>
          <w:sz w:val="24"/>
          <w:szCs w:val="24"/>
          <w:lang w:val="en-US" w:eastAsia="zh-CN" w:bidi="ar"/>
        </w:rPr>
        <w:br w:type="page"/>
      </w:r>
    </w:p>
    <w:p w14:paraId="2677E6D8">
      <w:pPr>
        <w:keepNext w:val="0"/>
        <w:keepLines w:val="0"/>
        <w:widowControl w:val="0"/>
        <w:suppressLineNumbers w:val="0"/>
        <w:wordWrap w:val="0"/>
        <w:spacing w:before="0" w:beforeAutospacing="0" w:after="0" w:afterAutospacing="0"/>
        <w:ind w:left="0" w:right="0"/>
        <w:jc w:val="righ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62"/>
        <w:gridCol w:w="8496"/>
      </w:tblGrid>
      <w:tr w14:paraId="26D7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310" w:type="pct"/>
            <w:tcBorders>
              <w:top w:val="single" w:color="auto" w:sz="4" w:space="0"/>
              <w:left w:val="single" w:color="auto" w:sz="4" w:space="0"/>
              <w:bottom w:val="single" w:color="auto" w:sz="4" w:space="0"/>
              <w:right w:val="single" w:color="auto" w:sz="4" w:space="0"/>
            </w:tcBorders>
            <w:shd w:val="clear" w:color="auto" w:fill="auto"/>
            <w:vAlign w:val="center"/>
          </w:tcPr>
          <w:p w14:paraId="05D56317">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4D9F64DF">
            <w:pPr>
              <w:keepNext w:val="0"/>
              <w:keepLines w:val="0"/>
              <w:widowControl w:val="0"/>
              <w:suppressLineNumbers w:val="0"/>
              <w:spacing w:before="0" w:beforeAutospacing="0" w:after="0" w:afterAutospacing="0" w:line="480" w:lineRule="auto"/>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专家组复审意见</w:t>
            </w:r>
          </w:p>
        </w:tc>
        <w:tc>
          <w:tcPr>
            <w:tcW w:w="4689" w:type="pct"/>
            <w:tcBorders>
              <w:top w:val="single" w:color="auto" w:sz="4" w:space="0"/>
              <w:left w:val="single" w:color="auto" w:sz="4" w:space="0"/>
              <w:bottom w:val="single" w:color="auto" w:sz="4" w:space="0"/>
              <w:right w:val="single" w:color="auto" w:sz="4" w:space="0"/>
            </w:tcBorders>
            <w:shd w:val="clear" w:color="auto" w:fill="auto"/>
            <w:vAlign w:val="center"/>
          </w:tcPr>
          <w:p w14:paraId="2E8AA994">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color w:val="auto"/>
                <w:kern w:val="0"/>
                <w:sz w:val="24"/>
                <w:szCs w:val="24"/>
              </w:rPr>
            </w:pPr>
          </w:p>
          <w:p w14:paraId="6654F32F">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湖北</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项目安全预评价报告（或安全设施设计专篇）已经按专家组意见进行了修改，符合规范标准要求。</w:t>
            </w:r>
          </w:p>
          <w:p w14:paraId="28CDFE85">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color w:val="auto"/>
                <w:kern w:val="0"/>
                <w:sz w:val="24"/>
                <w:szCs w:val="24"/>
              </w:rPr>
            </w:pPr>
          </w:p>
          <w:p w14:paraId="08D21BB3">
            <w:pPr>
              <w:pStyle w:val="13"/>
              <w:keepNext w:val="0"/>
              <w:keepLines w:val="0"/>
              <w:widowControl w:val="0"/>
              <w:suppressLineNumbers w:val="0"/>
              <w:spacing w:before="0" w:beforeAutospacing="0" w:after="0" w:afterAutospacing="0"/>
              <w:ind w:left="0" w:right="0" w:firstLine="480" w:firstLineChars="200"/>
              <w:jc w:val="both"/>
              <w:textAlignment w:val="baseline"/>
              <w:rPr>
                <w:rFonts w:hint="default" w:ascii="Times New Roman" w:hAnsi="Times New Roman" w:eastAsia="宋体" w:cs="Times New Roman"/>
                <w:color w:val="auto"/>
                <w:kern w:val="2"/>
                <w:sz w:val="24"/>
                <w:szCs w:val="24"/>
              </w:rPr>
            </w:pPr>
          </w:p>
          <w:p w14:paraId="53ED1385">
            <w:pPr>
              <w:pStyle w:val="13"/>
              <w:keepNext w:val="0"/>
              <w:keepLines w:val="0"/>
              <w:widowControl w:val="0"/>
              <w:suppressLineNumbers w:val="0"/>
              <w:spacing w:before="0" w:beforeAutospacing="0" w:after="0" w:afterAutospacing="0"/>
              <w:ind w:left="0" w:right="0" w:firstLine="480" w:firstLineChars="200"/>
              <w:jc w:val="both"/>
              <w:textAlignment w:val="baseline"/>
              <w:rPr>
                <w:rFonts w:hint="default" w:ascii="Times New Roman" w:hAnsi="Times New Roman" w:eastAsia="宋体" w:cs="Times New Roman"/>
                <w:color w:val="auto"/>
                <w:kern w:val="2"/>
                <w:sz w:val="24"/>
                <w:szCs w:val="24"/>
              </w:rPr>
            </w:pPr>
          </w:p>
          <w:p w14:paraId="3506BD68">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color w:val="auto"/>
                <w:kern w:val="0"/>
                <w:sz w:val="24"/>
                <w:szCs w:val="24"/>
              </w:rPr>
            </w:pPr>
          </w:p>
          <w:p w14:paraId="4E568959">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color w:val="auto"/>
                <w:kern w:val="0"/>
                <w:sz w:val="24"/>
                <w:szCs w:val="24"/>
              </w:rPr>
            </w:pPr>
          </w:p>
          <w:p w14:paraId="0D80626C">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color w:val="auto"/>
                <w:kern w:val="0"/>
                <w:sz w:val="24"/>
                <w:szCs w:val="24"/>
              </w:rPr>
            </w:pPr>
            <w:r>
              <w:rPr>
                <w:rFonts w:hint="eastAsia" w:ascii="宋体" w:hAnsi="宋体" w:eastAsia="宋体" w:cs="宋体"/>
                <w:color w:val="auto"/>
                <w:kern w:val="0"/>
                <w:sz w:val="24"/>
                <w:szCs w:val="24"/>
                <w:lang w:val="en-US" w:eastAsia="zh-CN" w:bidi="ar"/>
              </w:rPr>
              <w:t>专家组组长签字</w:t>
            </w:r>
            <w:r>
              <w:rPr>
                <w:rFonts w:hint="eastAsia" w:ascii="Times New Roman" w:hAnsi="Times New Roman" w:cs="Times New Roman"/>
                <w:color w:val="auto"/>
                <w:kern w:val="0"/>
                <w:sz w:val="24"/>
                <w:szCs w:val="24"/>
                <w:lang w:val="en-US" w:eastAsia="zh-CN" w:bidi="ar"/>
              </w:rPr>
              <w:t>：</w:t>
            </w:r>
          </w:p>
          <w:p w14:paraId="74E2D631">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color w:val="auto"/>
                <w:kern w:val="0"/>
                <w:sz w:val="24"/>
                <w:szCs w:val="24"/>
              </w:rPr>
            </w:pPr>
          </w:p>
          <w:p w14:paraId="5E80D1A0">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color w:val="auto"/>
                <w:kern w:val="0"/>
                <w:sz w:val="24"/>
                <w:szCs w:val="24"/>
              </w:rPr>
            </w:pPr>
          </w:p>
          <w:p w14:paraId="49D80BEB">
            <w:pPr>
              <w:pStyle w:val="13"/>
              <w:keepNext w:val="0"/>
              <w:keepLines w:val="0"/>
              <w:widowControl w:val="0"/>
              <w:suppressLineNumbers w:val="0"/>
              <w:spacing w:before="0" w:beforeAutospacing="0" w:after="0" w:afterAutospacing="0"/>
              <w:ind w:left="0" w:right="0" w:firstLine="480" w:firstLineChars="200"/>
              <w:jc w:val="both"/>
              <w:textAlignment w:val="baseline"/>
              <w:rPr>
                <w:rFonts w:hint="default" w:ascii="Times New Roman" w:hAnsi="Times New Roman" w:eastAsia="宋体" w:cs="Times New Roman"/>
                <w:color w:val="auto"/>
                <w:kern w:val="2"/>
                <w:sz w:val="24"/>
                <w:szCs w:val="24"/>
              </w:rPr>
            </w:pPr>
          </w:p>
          <w:p w14:paraId="74BC7CB2">
            <w:pPr>
              <w:pStyle w:val="13"/>
              <w:keepNext w:val="0"/>
              <w:keepLines w:val="0"/>
              <w:widowControl w:val="0"/>
              <w:suppressLineNumbers w:val="0"/>
              <w:spacing w:before="0" w:beforeAutospacing="0" w:after="0" w:afterAutospacing="0"/>
              <w:ind w:left="0" w:right="0" w:firstLine="480" w:firstLineChars="200"/>
              <w:jc w:val="both"/>
              <w:textAlignment w:val="baseline"/>
              <w:rPr>
                <w:rFonts w:hint="default" w:ascii="Times New Roman" w:hAnsi="Times New Roman" w:eastAsia="宋体" w:cs="Times New Roman"/>
                <w:color w:val="auto"/>
                <w:kern w:val="2"/>
                <w:sz w:val="24"/>
                <w:szCs w:val="24"/>
              </w:rPr>
            </w:pPr>
          </w:p>
          <w:p w14:paraId="0C0B8699">
            <w:pPr>
              <w:keepNext w:val="0"/>
              <w:keepLines w:val="0"/>
              <w:widowControl w:val="0"/>
              <w:suppressLineNumbers w:val="0"/>
              <w:spacing w:before="156" w:beforeLines="50" w:beforeAutospacing="0" w:after="0" w:afterAutospacing="0" w:line="480" w:lineRule="auto"/>
              <w:ind w:left="0" w:right="0"/>
              <w:jc w:val="both"/>
              <w:rPr>
                <w:rFonts w:hint="default" w:ascii="Times New Roman" w:hAnsi="Times New Roman" w:eastAsia="宋体" w:cs="Times New Roman"/>
                <w:color w:val="auto"/>
                <w:kern w:val="0"/>
                <w:sz w:val="24"/>
                <w:szCs w:val="24"/>
              </w:rPr>
            </w:pPr>
            <w:r>
              <w:rPr>
                <w:rFonts w:hint="eastAsia" w:ascii="宋体" w:hAnsi="宋体" w:eastAsia="宋体" w:cs="宋体"/>
                <w:color w:val="auto"/>
                <w:kern w:val="0"/>
                <w:sz w:val="24"/>
                <w:szCs w:val="24"/>
                <w:lang w:val="en-US" w:eastAsia="zh-CN" w:bidi="ar"/>
              </w:rPr>
              <w:t>专家组成员签字</w:t>
            </w:r>
            <w:r>
              <w:rPr>
                <w:rFonts w:hint="eastAsia" w:ascii="Times New Roman" w:hAnsi="Times New Roman" w:cs="Times New Roman"/>
                <w:color w:val="auto"/>
                <w:kern w:val="0"/>
                <w:sz w:val="24"/>
                <w:szCs w:val="24"/>
                <w:lang w:val="en-US" w:eastAsia="zh-CN" w:bidi="ar"/>
              </w:rPr>
              <w:t>：</w:t>
            </w:r>
          </w:p>
          <w:p w14:paraId="30333E3B">
            <w:pPr>
              <w:keepNext w:val="0"/>
              <w:keepLines w:val="0"/>
              <w:widowControl w:val="0"/>
              <w:suppressLineNumbers w:val="0"/>
              <w:spacing w:before="156" w:beforeLines="50" w:beforeAutospacing="0" w:after="0" w:afterAutospacing="0" w:line="480" w:lineRule="auto"/>
              <w:ind w:left="0" w:right="0"/>
              <w:jc w:val="both"/>
              <w:rPr>
                <w:rFonts w:hint="default" w:ascii="Times New Roman" w:hAnsi="Times New Roman" w:eastAsia="宋体" w:cs="Times New Roman"/>
                <w:color w:val="auto"/>
                <w:kern w:val="0"/>
                <w:sz w:val="24"/>
                <w:szCs w:val="24"/>
              </w:rPr>
            </w:pPr>
          </w:p>
          <w:p w14:paraId="36F594C4">
            <w:pPr>
              <w:pStyle w:val="13"/>
              <w:keepNext w:val="0"/>
              <w:keepLines w:val="0"/>
              <w:widowControl w:val="0"/>
              <w:suppressLineNumbers w:val="0"/>
              <w:spacing w:before="0" w:beforeAutospacing="0" w:after="0" w:afterAutospacing="0"/>
              <w:ind w:left="0" w:right="0" w:firstLine="480" w:firstLineChars="200"/>
              <w:jc w:val="both"/>
              <w:textAlignment w:val="baseline"/>
              <w:rPr>
                <w:rFonts w:hint="default" w:ascii="Times New Roman" w:hAnsi="Times New Roman" w:eastAsia="宋体" w:cs="Times New Roman"/>
                <w:color w:val="auto"/>
                <w:kern w:val="2"/>
                <w:sz w:val="24"/>
                <w:szCs w:val="24"/>
              </w:rPr>
            </w:pPr>
          </w:p>
          <w:p w14:paraId="7D3C34B3">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color w:val="auto"/>
                <w:kern w:val="0"/>
                <w:sz w:val="24"/>
                <w:szCs w:val="24"/>
              </w:rPr>
            </w:pPr>
          </w:p>
          <w:p w14:paraId="03C9BB5E">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color w:val="auto"/>
                <w:kern w:val="0"/>
                <w:sz w:val="24"/>
                <w:szCs w:val="24"/>
              </w:rPr>
            </w:pPr>
          </w:p>
        </w:tc>
      </w:tr>
    </w:tbl>
    <w:p w14:paraId="25724290">
      <w:pPr>
        <w:keepNext w:val="0"/>
        <w:keepLines w:val="0"/>
        <w:widowControl w:val="0"/>
        <w:suppressLineNumbers w:val="0"/>
        <w:spacing w:before="0" w:beforeAutospacing="0" w:after="0" w:afterAutospacing="0"/>
        <w:ind w:left="0" w:right="112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p>
    <w:p w14:paraId="5D462662">
      <w:pPr>
        <w:keepNext w:val="0"/>
        <w:keepLines w:val="0"/>
        <w:widowControl w:val="0"/>
        <w:suppressLineNumbers w:val="0"/>
        <w:spacing w:before="0" w:beforeAutospacing="0" w:after="0" w:afterAutospacing="0"/>
        <w:ind w:left="0" w:right="0" w:firstLine="480" w:firstLineChars="200"/>
        <w:jc w:val="left"/>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说明：专家修改意见对照表及报告专篇电子版本通过专家签字系统上传由审查人员组织专家线上网签，具体由审查人员会上告知。</w:t>
      </w:r>
    </w:p>
    <w:p w14:paraId="65FAF08A">
      <w:pPr>
        <w:keepNext w:val="0"/>
        <w:keepLines w:val="0"/>
        <w:widowControl w:val="0"/>
        <w:suppressLineNumbers w:val="0"/>
        <w:spacing w:before="0" w:beforeAutospacing="0" w:after="0" w:afterAutospacing="0"/>
        <w:ind w:left="0" w:right="0"/>
        <w:jc w:val="both"/>
        <w:rPr>
          <w:rFonts w:hint="default" w:ascii="Times New Roman" w:hAnsi="Times New Roman" w:eastAsia="黑体" w:cs="Times New Roman"/>
          <w:bCs/>
          <w:color w:val="auto"/>
          <w:kern w:val="2"/>
          <w:sz w:val="32"/>
          <w:szCs w:val="32"/>
        </w:rPr>
      </w:pPr>
      <w:r>
        <w:rPr>
          <w:rFonts w:hint="default" w:ascii="Times New Roman" w:hAnsi="Times New Roman" w:eastAsia="黑体" w:cs="Times New Roman"/>
          <w:bCs/>
          <w:color w:val="auto"/>
          <w:kern w:val="2"/>
          <w:sz w:val="32"/>
          <w:szCs w:val="32"/>
          <w:lang w:val="en-US" w:eastAsia="zh-CN" w:bidi="ar"/>
        </w:rPr>
        <w:br w:type="page"/>
      </w:r>
    </w:p>
    <w:p w14:paraId="659A81A3">
      <w:pPr>
        <w:keepNext w:val="0"/>
        <w:keepLines w:val="0"/>
        <w:widowControl w:val="0"/>
        <w:suppressLineNumbers w:val="0"/>
        <w:overflowPunct w:val="0"/>
        <w:spacing w:before="0" w:beforeAutospacing="0" w:after="0" w:afterAutospacing="0" w:line="578" w:lineRule="exact"/>
        <w:ind w:left="0" w:right="0"/>
        <w:jc w:val="both"/>
        <w:rPr>
          <w:rFonts w:hint="default" w:ascii="Times New Roman" w:hAnsi="Times New Roman" w:eastAsia="黑体" w:cs="Times New Roman"/>
          <w:color w:val="auto"/>
          <w:kern w:val="2"/>
          <w:sz w:val="32"/>
          <w:szCs w:val="32"/>
        </w:rPr>
      </w:pPr>
      <w:r>
        <w:rPr>
          <w:rFonts w:hint="default" w:ascii="Times New Roman" w:hAnsi="Times New Roman" w:eastAsia="黑体" w:cs="Times New Roman"/>
          <w:color w:val="auto"/>
          <w:kern w:val="2"/>
          <w:sz w:val="32"/>
          <w:szCs w:val="32"/>
          <w:lang w:val="en-US" w:eastAsia="zh-CN" w:bidi="ar"/>
        </w:rPr>
        <w:t>附件4</w:t>
      </w:r>
    </w:p>
    <w:p w14:paraId="251A6C93">
      <w:pPr>
        <w:keepNext w:val="0"/>
        <w:keepLines w:val="0"/>
        <w:widowControl w:val="0"/>
        <w:suppressLineNumbers w:val="0"/>
        <w:wordWrap w:val="0"/>
        <w:overflowPunct w:val="0"/>
        <w:adjustRightInd w:val="0"/>
        <w:snapToGrid w:val="0"/>
        <w:spacing w:before="156" w:beforeLines="50" w:beforeAutospacing="0" w:after="156" w:afterLines="50" w:afterAutospacing="0" w:line="578" w:lineRule="exact"/>
        <w:ind w:left="0" w:right="0"/>
        <w:jc w:val="center"/>
        <w:rPr>
          <w:rFonts w:hint="default" w:ascii="Times New Roman" w:hAnsi="Times New Roman" w:eastAsia="方正小标宋简体" w:cs="Times New Roman"/>
          <w:color w:val="auto"/>
          <w:kern w:val="2"/>
          <w:sz w:val="44"/>
          <w:szCs w:val="44"/>
        </w:rPr>
      </w:pPr>
      <w:r>
        <w:rPr>
          <w:rFonts w:hint="default" w:ascii="方正小标宋简体" w:hAnsi="方正小标宋简体" w:eastAsia="方正小标宋简体" w:cs="方正小标宋简体"/>
          <w:color w:val="auto"/>
          <w:kern w:val="2"/>
          <w:sz w:val="44"/>
          <w:szCs w:val="44"/>
          <w:lang w:val="en-US" w:eastAsia="zh-CN" w:bidi="ar"/>
        </w:rPr>
        <w:t>建设项目安全审查专家组意见（参考模板）</w:t>
      </w:r>
    </w:p>
    <w:tbl>
      <w:tblPr>
        <w:tblStyle w:val="15"/>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885"/>
        <w:gridCol w:w="783"/>
        <w:gridCol w:w="2693"/>
        <w:gridCol w:w="1701"/>
        <w:gridCol w:w="2460"/>
      </w:tblGrid>
      <w:tr w14:paraId="14B67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B89DF7">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项目名称：</w:t>
            </w:r>
          </w:p>
        </w:tc>
      </w:tr>
      <w:tr w14:paraId="26BC7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D29E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审查时间</w:t>
            </w:r>
          </w:p>
        </w:tc>
        <w:tc>
          <w:tcPr>
            <w:tcW w:w="2693" w:type="dxa"/>
            <w:tcBorders>
              <w:top w:val="single" w:color="000000" w:sz="4" w:space="0"/>
              <w:left w:val="single" w:color="000000" w:sz="4" w:space="0"/>
              <w:bottom w:val="single" w:color="000000" w:sz="4" w:space="0"/>
              <w:right w:val="single" w:color="auto" w:sz="4" w:space="0"/>
            </w:tcBorders>
            <w:shd w:val="clear" w:color="auto" w:fill="auto"/>
            <w:vAlign w:val="center"/>
          </w:tcPr>
          <w:p w14:paraId="27160CB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p>
        </w:tc>
        <w:tc>
          <w:tcPr>
            <w:tcW w:w="1701" w:type="dxa"/>
            <w:tcBorders>
              <w:top w:val="single" w:color="000000" w:sz="4" w:space="0"/>
              <w:left w:val="nil"/>
              <w:bottom w:val="single" w:color="000000" w:sz="4" w:space="0"/>
              <w:right w:val="single" w:color="000000" w:sz="4" w:space="0"/>
            </w:tcBorders>
            <w:shd w:val="clear" w:color="auto" w:fill="auto"/>
            <w:vAlign w:val="center"/>
          </w:tcPr>
          <w:p w14:paraId="49C866E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审查地点</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3F6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p>
        </w:tc>
      </w:tr>
      <w:tr w14:paraId="33A35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807" w:hRule="atLeast"/>
        </w:trPr>
        <w:tc>
          <w:tcPr>
            <w:tcW w:w="885" w:type="dxa"/>
            <w:tcBorders>
              <w:top w:val="single" w:color="000000" w:sz="4" w:space="0"/>
              <w:left w:val="single" w:color="000000" w:sz="4" w:space="0"/>
              <w:bottom w:val="single" w:color="000000" w:sz="4" w:space="0"/>
              <w:right w:val="single" w:color="auto" w:sz="4" w:space="0"/>
            </w:tcBorders>
            <w:shd w:val="clear" w:color="auto" w:fill="auto"/>
            <w:vAlign w:val="center"/>
          </w:tcPr>
          <w:p w14:paraId="3FCDA54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专</w:t>
            </w:r>
          </w:p>
          <w:p w14:paraId="56D30A8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p>
          <w:p w14:paraId="64B606D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家</w:t>
            </w:r>
          </w:p>
          <w:p w14:paraId="55A8D07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p>
          <w:p w14:paraId="262FA37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组</w:t>
            </w:r>
          </w:p>
          <w:p w14:paraId="59DC4E1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p>
          <w:p w14:paraId="343ED8E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审</w:t>
            </w:r>
          </w:p>
          <w:p w14:paraId="1ECE08A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p>
          <w:p w14:paraId="685833F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查</w:t>
            </w:r>
          </w:p>
          <w:p w14:paraId="3400143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p>
          <w:p w14:paraId="2BC8B44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意</w:t>
            </w:r>
          </w:p>
          <w:p w14:paraId="6D8BF4A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4"/>
                <w:szCs w:val="24"/>
              </w:rPr>
            </w:pPr>
          </w:p>
          <w:p w14:paraId="783C6B4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b/>
                <w:bCs/>
                <w:color w:val="auto"/>
                <w:kern w:val="2"/>
                <w:sz w:val="24"/>
                <w:szCs w:val="24"/>
                <w:lang w:val="en-US" w:eastAsia="zh-CN" w:bidi="ar"/>
              </w:rPr>
              <w:t>见</w:t>
            </w:r>
          </w:p>
        </w:tc>
        <w:tc>
          <w:tcPr>
            <w:tcW w:w="7637" w:type="dxa"/>
            <w:gridSpan w:val="4"/>
            <w:tcBorders>
              <w:top w:val="single" w:color="000000" w:sz="4" w:space="0"/>
              <w:left w:val="nil"/>
              <w:bottom w:val="single" w:color="000000" w:sz="4" w:space="0"/>
              <w:right w:val="single" w:color="000000" w:sz="4" w:space="0"/>
            </w:tcBorders>
            <w:shd w:val="clear" w:color="auto" w:fill="auto"/>
            <w:vAlign w:val="top"/>
          </w:tcPr>
          <w:p w14:paraId="7EA5D757">
            <w:pPr>
              <w:keepNext w:val="0"/>
              <w:keepLines w:val="0"/>
              <w:widowControl w:val="0"/>
              <w:suppressLineNumbers w:val="0"/>
              <w:adjustRightInd w:val="0"/>
              <w:snapToGrid w:val="0"/>
              <w:spacing w:before="0" w:beforeAutospacing="0" w:after="0" w:afterAutospacing="0" w:line="340" w:lineRule="exact"/>
              <w:ind w:left="0" w:right="0"/>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根据《安全生产法》《中华人民共和国危险化学品安全法》《危险化学品建设项目安全监督管理办法》《危险化学品生产建设项目安全风险防控指南（试行）》的通知（应急〔</w:t>
            </w:r>
            <w:r>
              <w:rPr>
                <w:rFonts w:hint="default" w:ascii="Times New Roman" w:hAnsi="Times New Roman" w:eastAsia="宋体" w:cs="Times New Roman"/>
                <w:color w:val="auto"/>
                <w:kern w:val="2"/>
                <w:sz w:val="24"/>
                <w:szCs w:val="24"/>
                <w:lang w:val="en-US" w:eastAsia="zh-CN" w:bidi="ar"/>
              </w:rPr>
              <w:t>2022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 xml:space="preserve">52 </w:t>
            </w:r>
            <w:r>
              <w:rPr>
                <w:rFonts w:hint="eastAsia" w:ascii="宋体" w:hAnsi="宋体" w:eastAsia="宋体" w:cs="宋体"/>
                <w:color w:val="auto"/>
                <w:kern w:val="2"/>
                <w:sz w:val="24"/>
                <w:szCs w:val="24"/>
                <w:lang w:val="en-US" w:eastAsia="zh-CN" w:bidi="ar"/>
              </w:rPr>
              <w:t>号）等法律法规文件规定，省应急管理厅组织</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市和</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县应急管理局、有关专家和相关单位，于</w:t>
            </w:r>
            <w:r>
              <w:rPr>
                <w:rFonts w:hint="default" w:ascii="Times New Roman" w:hAnsi="Times New Roman" w:eastAsia="宋体" w:cs="Times New Roman"/>
                <w:color w:val="auto"/>
                <w:kern w:val="2"/>
                <w:sz w:val="24"/>
                <w:szCs w:val="24"/>
                <w:lang w:val="en-US" w:eastAsia="zh-CN" w:bidi="ar"/>
              </w:rPr>
              <w:t>XX</w:t>
            </w:r>
            <w:r>
              <w:rPr>
                <w:rFonts w:hint="eastAsia" w:ascii="宋体" w:hAnsi="宋体" w:eastAsia="宋体" w:cs="宋体"/>
                <w:color w:val="auto"/>
                <w:kern w:val="2"/>
                <w:sz w:val="24"/>
                <w:szCs w:val="24"/>
                <w:lang w:val="en-US" w:eastAsia="zh-CN" w:bidi="ar"/>
              </w:rPr>
              <w:t>年</w:t>
            </w:r>
            <w:r>
              <w:rPr>
                <w:rFonts w:hint="default" w:ascii="Times New Roman" w:hAnsi="Times New Roman" w:eastAsia="宋体" w:cs="Times New Roman"/>
                <w:color w:val="auto"/>
                <w:kern w:val="2"/>
                <w:sz w:val="24"/>
                <w:szCs w:val="24"/>
                <w:lang w:val="en-US" w:eastAsia="zh-CN" w:bidi="ar"/>
              </w:rPr>
              <w:t>XX</w:t>
            </w:r>
            <w:r>
              <w:rPr>
                <w:rFonts w:hint="eastAsia" w:ascii="宋体" w:hAnsi="宋体" w:eastAsia="宋体" w:cs="宋体"/>
                <w:color w:val="auto"/>
                <w:kern w:val="2"/>
                <w:sz w:val="24"/>
                <w:szCs w:val="24"/>
                <w:lang w:val="en-US" w:eastAsia="zh-CN" w:bidi="ar"/>
              </w:rPr>
              <w:t>月</w:t>
            </w:r>
            <w:r>
              <w:rPr>
                <w:rFonts w:hint="default" w:ascii="Times New Roman" w:hAnsi="Times New Roman" w:eastAsia="宋体" w:cs="Times New Roman"/>
                <w:color w:val="auto"/>
                <w:kern w:val="2"/>
                <w:sz w:val="24"/>
                <w:szCs w:val="24"/>
                <w:lang w:val="en-US" w:eastAsia="zh-CN" w:bidi="ar"/>
              </w:rPr>
              <w:t>XX</w:t>
            </w:r>
            <w:r>
              <w:rPr>
                <w:rFonts w:hint="eastAsia" w:ascii="宋体" w:hAnsi="宋体" w:eastAsia="宋体" w:cs="宋体"/>
                <w:color w:val="auto"/>
                <w:kern w:val="2"/>
                <w:sz w:val="24"/>
                <w:szCs w:val="24"/>
                <w:lang w:val="en-US" w:eastAsia="zh-CN" w:bidi="ar"/>
              </w:rPr>
              <w:t>日对</w:t>
            </w:r>
            <w:r>
              <w:rPr>
                <w:rFonts w:hint="default" w:ascii="Times New Roman" w:hAnsi="Times New Roman" w:eastAsia="宋体" w:cs="Times New Roman"/>
                <w:color w:val="auto"/>
                <w:kern w:val="2"/>
                <w:sz w:val="24"/>
                <w:szCs w:val="24"/>
                <w:lang w:val="en-US" w:eastAsia="zh-CN" w:bidi="ar"/>
              </w:rPr>
              <w:t>XX</w:t>
            </w:r>
            <w:r>
              <w:rPr>
                <w:rFonts w:hint="eastAsia" w:ascii="宋体" w:hAnsi="宋体" w:eastAsia="宋体" w:cs="宋体"/>
                <w:color w:val="auto"/>
                <w:kern w:val="2"/>
                <w:sz w:val="24"/>
                <w:szCs w:val="24"/>
                <w:lang w:val="en-US" w:eastAsia="zh-CN" w:bidi="ar"/>
              </w:rPr>
              <w:t>公司的</w:t>
            </w:r>
            <w:r>
              <w:rPr>
                <w:rFonts w:hint="default" w:ascii="Times New Roman" w:hAnsi="Times New Roman" w:eastAsia="宋体" w:cs="Times New Roman"/>
                <w:color w:val="auto"/>
                <w:kern w:val="2"/>
                <w:sz w:val="24"/>
                <w:szCs w:val="24"/>
                <w:lang w:val="en-US" w:eastAsia="zh-CN" w:bidi="ar"/>
              </w:rPr>
              <w:t>XXX</w:t>
            </w:r>
            <w:r>
              <w:rPr>
                <w:rFonts w:hint="eastAsia" w:ascii="宋体" w:hAnsi="宋体" w:eastAsia="宋体" w:cs="宋体"/>
                <w:color w:val="auto"/>
                <w:kern w:val="2"/>
                <w:sz w:val="24"/>
                <w:szCs w:val="24"/>
                <w:lang w:val="en-US" w:eastAsia="zh-CN" w:bidi="ar"/>
              </w:rPr>
              <w:t>项目进行了安全条件（安全设施设计）审查。专家组听取了建设单位的有关介绍，审阅了有关资料，经充分讨论，形成意见如下：</w:t>
            </w:r>
          </w:p>
          <w:p w14:paraId="65460E6C">
            <w:pPr>
              <w:keepNext w:val="0"/>
              <w:keepLines w:val="0"/>
              <w:widowControl w:val="0"/>
              <w:suppressLineNumbers w:val="0"/>
              <w:adjustRightInd w:val="0"/>
              <w:snapToGrid w:val="0"/>
              <w:spacing w:before="0" w:beforeAutospacing="0" w:after="0" w:afterAutospacing="0" w:line="340" w:lineRule="exact"/>
              <w:ind w:left="0" w:right="0"/>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一、</w:t>
            </w:r>
            <w:r>
              <w:rPr>
                <w:rFonts w:hint="default" w:ascii="Times New Roman" w:hAnsi="Times New Roman" w:eastAsia="宋体" w:cs="Times New Roman"/>
                <w:color w:val="auto"/>
                <w:kern w:val="2"/>
                <w:sz w:val="24"/>
                <w:szCs w:val="24"/>
                <w:lang w:val="en-US" w:eastAsia="zh-CN" w:bidi="ar"/>
              </w:rPr>
              <w:t>XXXX</w:t>
            </w:r>
            <w:r>
              <w:rPr>
                <w:rFonts w:hint="eastAsia" w:ascii="宋体" w:hAnsi="宋体" w:eastAsia="宋体" w:cs="宋体"/>
                <w:color w:val="auto"/>
                <w:kern w:val="2"/>
                <w:sz w:val="24"/>
                <w:szCs w:val="24"/>
                <w:lang w:val="en-US" w:eastAsia="zh-CN" w:bidi="ar"/>
              </w:rPr>
              <w:t>项目安全预评价报告（或安全设施设计专篇）由</w:t>
            </w:r>
            <w:r>
              <w:rPr>
                <w:rFonts w:hint="default" w:ascii="Times New Roman" w:hAnsi="Times New Roman" w:eastAsia="宋体" w:cs="Times New Roman"/>
                <w:color w:val="auto"/>
                <w:kern w:val="2"/>
                <w:sz w:val="24"/>
                <w:szCs w:val="24"/>
                <w:lang w:val="en-US" w:eastAsia="zh-CN" w:bidi="ar"/>
              </w:rPr>
              <w:t>XXX</w:t>
            </w:r>
            <w:r>
              <w:rPr>
                <w:rFonts w:hint="eastAsia" w:ascii="宋体" w:hAnsi="宋体" w:eastAsia="宋体" w:cs="宋体"/>
                <w:color w:val="auto"/>
                <w:kern w:val="2"/>
                <w:sz w:val="24"/>
                <w:szCs w:val="24"/>
                <w:lang w:val="en-US" w:eastAsia="zh-CN" w:bidi="ar"/>
              </w:rPr>
              <w:t>单位编制，其具备</w:t>
            </w:r>
            <w:r>
              <w:rPr>
                <w:rFonts w:hint="default" w:ascii="Times New Roman" w:hAnsi="Times New Roman" w:eastAsia="宋体" w:cs="Times New Roman"/>
                <w:color w:val="auto"/>
                <w:kern w:val="2"/>
                <w:sz w:val="24"/>
                <w:szCs w:val="24"/>
                <w:lang w:val="en-US" w:eastAsia="zh-CN" w:bidi="ar"/>
              </w:rPr>
              <w:t>XXX</w:t>
            </w:r>
            <w:r>
              <w:rPr>
                <w:rFonts w:hint="eastAsia" w:ascii="宋体" w:hAnsi="宋体" w:eastAsia="宋体" w:cs="宋体"/>
                <w:color w:val="auto"/>
                <w:kern w:val="2"/>
                <w:sz w:val="24"/>
                <w:szCs w:val="24"/>
                <w:lang w:val="en-US" w:eastAsia="zh-CN" w:bidi="ar"/>
              </w:rPr>
              <w:t>资质，资质编号</w:t>
            </w:r>
            <w:r>
              <w:rPr>
                <w:rFonts w:hint="default" w:ascii="Times New Roman" w:hAnsi="Times New Roman" w:eastAsia="宋体" w:cs="Times New Roman"/>
                <w:color w:val="auto"/>
                <w:kern w:val="2"/>
                <w:sz w:val="24"/>
                <w:szCs w:val="24"/>
                <w:lang w:val="en-US" w:eastAsia="zh-CN" w:bidi="ar"/>
              </w:rPr>
              <w:t>XXX</w:t>
            </w:r>
            <w:r>
              <w:rPr>
                <w:rFonts w:hint="eastAsia" w:ascii="宋体" w:hAnsi="宋体" w:eastAsia="宋体" w:cs="宋体"/>
                <w:color w:val="auto"/>
                <w:kern w:val="2"/>
                <w:sz w:val="24"/>
                <w:szCs w:val="24"/>
                <w:lang w:val="en-US" w:eastAsia="zh-CN" w:bidi="ar"/>
              </w:rPr>
              <w:t>，符合国家有关规定要求。</w:t>
            </w:r>
          </w:p>
          <w:p w14:paraId="5B9482D4">
            <w:pPr>
              <w:keepNext w:val="0"/>
              <w:keepLines w:val="0"/>
              <w:widowControl w:val="0"/>
              <w:suppressLineNumbers w:val="0"/>
              <w:adjustRightInd w:val="0"/>
              <w:snapToGrid w:val="0"/>
              <w:spacing w:before="0" w:beforeAutospacing="0" w:after="0" w:afterAutospacing="0" w:line="340" w:lineRule="exact"/>
              <w:ind w:left="0" w:right="0"/>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二、《安全预评价报告》（或《安全设施设计专篇》）的编写总体符合</w:t>
            </w:r>
            <w:r>
              <w:rPr>
                <w:rFonts w:hint="default" w:ascii="Times New Roman" w:hAnsi="Times New Roman" w:eastAsia="宋体" w:cs="Times New Roman"/>
                <w:color w:val="auto"/>
                <w:kern w:val="2"/>
                <w:sz w:val="24"/>
                <w:szCs w:val="24"/>
                <w:lang w:val="en-US" w:eastAsia="zh-CN" w:bidi="ar"/>
              </w:rPr>
              <w:t>XXX</w:t>
            </w:r>
            <w:r>
              <w:rPr>
                <w:rFonts w:hint="eastAsia" w:ascii="宋体" w:hAnsi="宋体" w:eastAsia="宋体" w:cs="宋体"/>
                <w:color w:val="auto"/>
                <w:kern w:val="2"/>
                <w:sz w:val="24"/>
                <w:szCs w:val="24"/>
                <w:lang w:val="en-US" w:eastAsia="zh-CN" w:bidi="ar"/>
              </w:rPr>
              <w:t>规定要求。</w:t>
            </w:r>
          </w:p>
          <w:p w14:paraId="33F95578">
            <w:pPr>
              <w:keepNext w:val="0"/>
              <w:keepLines w:val="0"/>
              <w:widowControl w:val="0"/>
              <w:suppressLineNumbers w:val="0"/>
              <w:adjustRightInd w:val="0"/>
              <w:snapToGrid w:val="0"/>
              <w:spacing w:before="0" w:beforeAutospacing="0" w:after="0" w:afterAutospacing="0" w:line="340" w:lineRule="exact"/>
              <w:ind w:left="0" w:right="0"/>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三、《安全预评价报告》（或《安全设施设计专篇》）需修改完善以下内容：</w:t>
            </w:r>
          </w:p>
          <w:p w14:paraId="4FE1C4F9">
            <w:pPr>
              <w:keepNext w:val="0"/>
              <w:keepLines w:val="0"/>
              <w:widowControl w:val="0"/>
              <w:suppressLineNumbers w:val="0"/>
              <w:adjustRightInd w:val="0"/>
              <w:snapToGrid w:val="0"/>
              <w:spacing w:before="0" w:beforeAutospacing="0" w:after="0" w:afterAutospacing="0" w:line="340" w:lineRule="exact"/>
              <w:ind w:left="0" w:right="0"/>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1.   </w:t>
            </w:r>
            <w:r>
              <w:rPr>
                <w:rFonts w:hint="eastAsia" w:ascii="宋体" w:hAnsi="宋体" w:eastAsia="宋体" w:cs="宋体"/>
                <w:color w:val="auto"/>
                <w:kern w:val="2"/>
                <w:sz w:val="24"/>
                <w:szCs w:val="24"/>
                <w:lang w:val="en-US" w:eastAsia="zh-CN" w:bidi="ar"/>
              </w:rPr>
              <w:t>。</w:t>
            </w:r>
          </w:p>
          <w:p w14:paraId="51F03011">
            <w:pPr>
              <w:keepNext w:val="0"/>
              <w:keepLines w:val="0"/>
              <w:widowControl w:val="0"/>
              <w:suppressLineNumbers w:val="0"/>
              <w:adjustRightInd w:val="0"/>
              <w:snapToGrid w:val="0"/>
              <w:spacing w:before="0" w:beforeAutospacing="0" w:after="0" w:afterAutospacing="0" w:line="340" w:lineRule="exact"/>
              <w:ind w:left="0" w:right="0" w:firstLine="480" w:firstLineChars="200"/>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2.   </w:t>
            </w:r>
            <w:r>
              <w:rPr>
                <w:rFonts w:hint="eastAsia" w:ascii="宋体" w:hAnsi="宋体" w:eastAsia="宋体" w:cs="宋体"/>
                <w:color w:val="auto"/>
                <w:kern w:val="2"/>
                <w:sz w:val="24"/>
                <w:szCs w:val="24"/>
                <w:lang w:val="en-US" w:eastAsia="zh-CN" w:bidi="ar"/>
              </w:rPr>
              <w:t>。</w:t>
            </w:r>
          </w:p>
          <w:p w14:paraId="549A6CB2">
            <w:pPr>
              <w:keepNext w:val="0"/>
              <w:keepLines w:val="0"/>
              <w:widowControl w:val="0"/>
              <w:suppressLineNumbers w:val="0"/>
              <w:adjustRightInd w:val="0"/>
              <w:snapToGrid w:val="0"/>
              <w:spacing w:before="0" w:beforeAutospacing="0" w:after="0" w:afterAutospacing="0" w:line="340" w:lineRule="exact"/>
              <w:ind w:left="0" w:right="0" w:firstLine="480" w:firstLineChars="200"/>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3.   </w:t>
            </w:r>
            <w:r>
              <w:rPr>
                <w:rFonts w:hint="eastAsia" w:ascii="宋体" w:hAnsi="宋体" w:eastAsia="宋体" w:cs="宋体"/>
                <w:color w:val="auto"/>
                <w:kern w:val="2"/>
                <w:sz w:val="24"/>
                <w:szCs w:val="24"/>
                <w:lang w:val="en-US" w:eastAsia="zh-CN" w:bidi="ar"/>
              </w:rPr>
              <w:t>。</w:t>
            </w:r>
          </w:p>
          <w:p w14:paraId="29A9CF80">
            <w:pPr>
              <w:keepNext w:val="0"/>
              <w:keepLines w:val="0"/>
              <w:widowControl w:val="0"/>
              <w:suppressLineNumbers w:val="0"/>
              <w:adjustRightInd w:val="0"/>
              <w:snapToGrid w:val="0"/>
              <w:spacing w:before="0" w:beforeAutospacing="0" w:after="0" w:afterAutospacing="0" w:line="340" w:lineRule="exact"/>
              <w:ind w:left="0" w:right="0" w:firstLine="480" w:firstLineChars="200"/>
              <w:jc w:val="left"/>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其他见专家个人意见。</w:t>
            </w:r>
          </w:p>
          <w:p w14:paraId="43CE66C8">
            <w:pPr>
              <w:keepNext w:val="0"/>
              <w:keepLines w:val="0"/>
              <w:widowControl w:val="0"/>
              <w:suppressLineNumbers w:val="0"/>
              <w:adjustRightInd w:val="0"/>
              <w:snapToGrid w:val="0"/>
              <w:spacing w:before="0" w:beforeAutospacing="0" w:after="0" w:afterAutospacing="0" w:line="340" w:lineRule="exact"/>
              <w:ind w:left="960" w:right="0" w:hanging="960" w:firstLineChars="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经安全审查，原则同意该项目通过。请将修订后的《安全预评价报</w:t>
            </w:r>
          </w:p>
          <w:p w14:paraId="5577AFB8">
            <w:pPr>
              <w:keepNext w:val="0"/>
              <w:keepLines w:val="0"/>
              <w:widowControl w:val="0"/>
              <w:suppressLineNumbers w:val="0"/>
              <w:adjustRightInd w:val="0"/>
              <w:snapToGrid w:val="0"/>
              <w:spacing w:before="0" w:beforeAutospacing="0" w:after="0" w:afterAutospacing="0" w:line="340" w:lineRule="exact"/>
              <w:ind w:left="960" w:right="0" w:hanging="960" w:firstLineChars="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告》（或《安全设施设计专篇》等有关材料提交省应急管理厅组织专家</w:t>
            </w:r>
          </w:p>
          <w:p w14:paraId="6A34778A">
            <w:pPr>
              <w:keepNext w:val="0"/>
              <w:keepLines w:val="0"/>
              <w:widowControl w:val="0"/>
              <w:suppressLineNumbers w:val="0"/>
              <w:adjustRightInd w:val="0"/>
              <w:snapToGrid w:val="0"/>
              <w:spacing w:before="0" w:beforeAutospacing="0" w:after="0" w:afterAutospacing="0" w:line="340" w:lineRule="exact"/>
              <w:ind w:left="960" w:right="0" w:hanging="960" w:firstLineChars="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组复核，复核确定后按程序正式报审。</w:t>
            </w:r>
          </w:p>
          <w:p w14:paraId="33EA486D">
            <w:pPr>
              <w:keepNext w:val="0"/>
              <w:keepLines w:val="0"/>
              <w:widowControl w:val="0"/>
              <w:suppressLineNumbers w:val="0"/>
              <w:adjustRightInd w:val="0"/>
              <w:snapToGrid w:val="0"/>
              <w:spacing w:before="0" w:beforeAutospacing="0" w:after="0" w:afterAutospacing="0" w:line="340" w:lineRule="exact"/>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或经安全审查，本项目不予通过，请修改后重新向省应急管理厅申请审查。</w:t>
            </w:r>
          </w:p>
          <w:p w14:paraId="74933562">
            <w:pPr>
              <w:keepNext w:val="0"/>
              <w:keepLines w:val="0"/>
              <w:widowControl w:val="0"/>
              <w:suppressLineNumbers w:val="0"/>
              <w:adjustRightInd w:val="0"/>
              <w:snapToGrid w:val="0"/>
              <w:spacing w:before="0" w:beforeAutospacing="0" w:after="0" w:afterAutospacing="0" w:line="340" w:lineRule="exact"/>
              <w:ind w:left="0" w:right="0"/>
              <w:jc w:val="both"/>
              <w:rPr>
                <w:rFonts w:hint="default" w:ascii="Times New Roman" w:hAnsi="Times New Roman" w:eastAsia="宋体" w:cs="Times New Roman"/>
                <w:color w:val="auto"/>
                <w:kern w:val="2"/>
                <w:sz w:val="24"/>
                <w:szCs w:val="24"/>
              </w:rPr>
            </w:pPr>
          </w:p>
          <w:p w14:paraId="1E198871">
            <w:pPr>
              <w:keepNext w:val="0"/>
              <w:keepLines w:val="0"/>
              <w:widowControl w:val="0"/>
              <w:suppressLineNumbers w:val="0"/>
              <w:adjustRightInd w:val="0"/>
              <w:snapToGrid w:val="0"/>
              <w:spacing w:before="0" w:beforeAutospacing="0" w:after="0" w:afterAutospacing="0" w:line="340" w:lineRule="exact"/>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组</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长：</w:t>
            </w:r>
          </w:p>
          <w:p w14:paraId="076E87B7">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成</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员：</w:t>
            </w:r>
          </w:p>
          <w:p w14:paraId="45F30759">
            <w:pPr>
              <w:keepNext w:val="0"/>
              <w:keepLines w:val="0"/>
              <w:widowControl w:val="0"/>
              <w:suppressLineNumbers w:val="0"/>
              <w:spacing w:before="0" w:beforeAutospacing="0" w:after="0" w:afterAutospacing="0"/>
              <w:ind w:left="0" w:right="0"/>
              <w:jc w:val="both"/>
              <w:rPr>
                <w:rFonts w:hint="default" w:ascii="Calibri" w:hAnsi="Calibri" w:eastAsia="宋体" w:cs="Times New Roman"/>
                <w:color w:val="auto"/>
                <w:kern w:val="2"/>
                <w:sz w:val="21"/>
                <w:szCs w:val="21"/>
              </w:rPr>
            </w:pPr>
          </w:p>
          <w:p w14:paraId="1FFE286E">
            <w:pPr>
              <w:keepNext w:val="0"/>
              <w:keepLines w:val="0"/>
              <w:widowControl w:val="0"/>
              <w:suppressLineNumbers w:val="0"/>
              <w:spacing w:before="0" w:beforeAutospacing="0" w:after="0" w:afterAutospacing="0"/>
              <w:ind w:left="0" w:right="0"/>
              <w:jc w:val="both"/>
              <w:rPr>
                <w:rFonts w:hint="default" w:ascii="Calibri" w:hAnsi="Calibri" w:eastAsia="宋体" w:cs="Times New Roman"/>
                <w:color w:val="auto"/>
                <w:kern w:val="2"/>
                <w:sz w:val="21"/>
                <w:szCs w:val="21"/>
              </w:rPr>
            </w:pPr>
          </w:p>
          <w:p w14:paraId="6603B8F5">
            <w:pPr>
              <w:pStyle w:val="14"/>
              <w:widowControl/>
              <w:spacing w:before="0" w:beforeAutospacing="1"/>
              <w:ind w:leftChars="200" w:right="0" w:firstLine="480"/>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 xml:space="preserve">                              </w:t>
            </w:r>
            <w:r>
              <w:rPr>
                <w:rFonts w:hint="eastAsia" w:ascii="宋体" w:hAnsi="宋体" w:eastAsia="宋体" w:cs="宋体"/>
                <w:color w:val="auto"/>
                <w:kern w:val="2"/>
                <w:sz w:val="24"/>
                <w:szCs w:val="24"/>
              </w:rPr>
              <w:t>年</w:t>
            </w:r>
            <w:r>
              <w:rPr>
                <w:rFonts w:hint="default" w:ascii="Times New Roman" w:hAnsi="Times New Roman" w:eastAsia="宋体" w:cs="Times New Roman"/>
                <w:color w:val="auto"/>
                <w:kern w:val="2"/>
                <w:sz w:val="24"/>
                <w:szCs w:val="24"/>
              </w:rPr>
              <w:t xml:space="preserve">   </w:t>
            </w:r>
            <w:r>
              <w:rPr>
                <w:rFonts w:hint="eastAsia" w:ascii="宋体" w:hAnsi="宋体" w:eastAsia="宋体" w:cs="宋体"/>
                <w:color w:val="auto"/>
                <w:kern w:val="2"/>
                <w:sz w:val="24"/>
                <w:szCs w:val="24"/>
              </w:rPr>
              <w:t>月</w:t>
            </w:r>
            <w:r>
              <w:rPr>
                <w:rFonts w:hint="default" w:ascii="Times New Roman" w:hAnsi="Times New Roman" w:eastAsia="宋体" w:cs="Times New Roman"/>
                <w:color w:val="auto"/>
                <w:kern w:val="2"/>
                <w:sz w:val="24"/>
                <w:szCs w:val="24"/>
              </w:rPr>
              <w:t xml:space="preserve">   </w:t>
            </w:r>
            <w:r>
              <w:rPr>
                <w:rFonts w:hint="eastAsia" w:ascii="宋体" w:hAnsi="宋体" w:eastAsia="宋体" w:cs="宋体"/>
                <w:color w:val="auto"/>
                <w:kern w:val="2"/>
                <w:sz w:val="24"/>
                <w:szCs w:val="24"/>
              </w:rPr>
              <w:t>日</w:t>
            </w:r>
          </w:p>
        </w:tc>
      </w:tr>
    </w:tbl>
    <w:p w14:paraId="15265868">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 </w:t>
      </w:r>
    </w:p>
    <w:p w14:paraId="6C974040">
      <w:pPr>
        <w:keepNext w:val="0"/>
        <w:keepLines w:val="0"/>
        <w:widowControl w:val="0"/>
        <w:suppressLineNumbers w:val="0"/>
        <w:wordWrap w:val="0"/>
        <w:overflowPunct w:val="0"/>
        <w:adjustRightInd w:val="0"/>
        <w:snapToGrid w:val="0"/>
        <w:spacing w:before="0" w:beforeAutospacing="0" w:after="156" w:afterLines="50" w:afterAutospacing="0" w:line="578" w:lineRule="exact"/>
        <w:ind w:left="0" w:right="0"/>
        <w:jc w:val="center"/>
        <w:rPr>
          <w:rFonts w:hint="default" w:ascii="Times New Roman" w:hAnsi="Times New Roman" w:eastAsia="方正小标宋简体" w:cs="Times New Roman"/>
          <w:color w:val="auto"/>
          <w:kern w:val="2"/>
          <w:sz w:val="44"/>
          <w:szCs w:val="44"/>
        </w:rPr>
      </w:pPr>
      <w:r>
        <w:rPr>
          <w:rFonts w:hint="default" w:ascii="方正小标宋简体" w:hAnsi="方正小标宋简体" w:eastAsia="方正小标宋简体" w:cs="方正小标宋简体"/>
          <w:color w:val="auto"/>
          <w:kern w:val="2"/>
          <w:sz w:val="44"/>
          <w:szCs w:val="44"/>
          <w:lang w:val="en-US" w:eastAsia="zh-CN" w:bidi="ar"/>
        </w:rPr>
        <w:t>专家个人意见（参考模板）</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109"/>
        <w:gridCol w:w="1237"/>
        <w:gridCol w:w="1572"/>
        <w:gridCol w:w="663"/>
        <w:gridCol w:w="520"/>
        <w:gridCol w:w="721"/>
        <w:gridCol w:w="292"/>
        <w:gridCol w:w="1942"/>
      </w:tblGrid>
      <w:tr w14:paraId="045C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1165" w:type="pct"/>
            <w:tcBorders>
              <w:top w:val="single" w:color="auto" w:sz="4" w:space="0"/>
              <w:left w:val="single" w:color="auto" w:sz="4" w:space="0"/>
              <w:bottom w:val="single" w:color="auto" w:sz="4" w:space="0"/>
              <w:right w:val="single" w:color="auto" w:sz="4" w:space="0"/>
            </w:tcBorders>
            <w:shd w:val="clear" w:color="auto" w:fill="auto"/>
            <w:vAlign w:val="center"/>
          </w:tcPr>
          <w:p w14:paraId="649E370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专家姓名</w:t>
            </w:r>
          </w:p>
        </w:tc>
        <w:tc>
          <w:tcPr>
            <w:tcW w:w="683" w:type="pct"/>
            <w:tcBorders>
              <w:top w:val="single" w:color="auto" w:sz="4" w:space="0"/>
              <w:left w:val="single" w:color="auto" w:sz="4" w:space="0"/>
              <w:bottom w:val="single" w:color="auto" w:sz="4" w:space="0"/>
              <w:right w:val="single" w:color="auto" w:sz="4" w:space="0"/>
            </w:tcBorders>
            <w:shd w:val="clear" w:color="auto" w:fill="auto"/>
            <w:vAlign w:val="center"/>
          </w:tcPr>
          <w:p w14:paraId="59085EE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p>
        </w:tc>
        <w:tc>
          <w:tcPr>
            <w:tcW w:w="868" w:type="pct"/>
            <w:tcBorders>
              <w:top w:val="single" w:color="auto" w:sz="4" w:space="0"/>
              <w:left w:val="single" w:color="auto" w:sz="4" w:space="0"/>
              <w:bottom w:val="single" w:color="auto" w:sz="4" w:space="0"/>
              <w:right w:val="single" w:color="auto" w:sz="4" w:space="0"/>
            </w:tcBorders>
            <w:shd w:val="clear" w:color="auto" w:fill="auto"/>
            <w:vAlign w:val="center"/>
          </w:tcPr>
          <w:p w14:paraId="7D39A89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职务</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职称</w:t>
            </w:r>
          </w:p>
        </w:tc>
        <w:tc>
          <w:tcPr>
            <w:tcW w:w="65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50375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p>
        </w:tc>
        <w:tc>
          <w:tcPr>
            <w:tcW w:w="55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9D934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专业</w:t>
            </w:r>
          </w:p>
        </w:tc>
        <w:tc>
          <w:tcPr>
            <w:tcW w:w="1069" w:type="pct"/>
            <w:tcBorders>
              <w:top w:val="single" w:color="auto" w:sz="4" w:space="0"/>
              <w:left w:val="single" w:color="auto" w:sz="4" w:space="0"/>
              <w:bottom w:val="single" w:color="auto" w:sz="4" w:space="0"/>
              <w:right w:val="single" w:color="auto" w:sz="4" w:space="0"/>
            </w:tcBorders>
            <w:shd w:val="clear" w:color="auto" w:fill="auto"/>
            <w:vAlign w:val="center"/>
          </w:tcPr>
          <w:p w14:paraId="0F46B1C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p>
        </w:tc>
      </w:tr>
      <w:tr w14:paraId="2734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pct"/>
            <w:tcBorders>
              <w:top w:val="single" w:color="auto" w:sz="4" w:space="0"/>
              <w:left w:val="single" w:color="auto" w:sz="4" w:space="0"/>
              <w:bottom w:val="single" w:color="auto" w:sz="4" w:space="0"/>
              <w:right w:val="single" w:color="auto" w:sz="4" w:space="0"/>
            </w:tcBorders>
            <w:shd w:val="clear" w:color="auto" w:fill="auto"/>
            <w:vAlign w:val="center"/>
          </w:tcPr>
          <w:p w14:paraId="0289041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专家单位</w:t>
            </w:r>
          </w:p>
        </w:tc>
        <w:tc>
          <w:tcPr>
            <w:tcW w:w="3834"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348E9B0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p>
        </w:tc>
      </w:tr>
      <w:tr w14:paraId="4F7EE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pct"/>
            <w:tcBorders>
              <w:top w:val="single" w:color="auto" w:sz="4" w:space="0"/>
              <w:left w:val="single" w:color="auto" w:sz="4" w:space="0"/>
              <w:bottom w:val="single" w:color="auto" w:sz="4" w:space="0"/>
              <w:right w:val="single" w:color="auto" w:sz="4" w:space="0"/>
            </w:tcBorders>
            <w:shd w:val="clear" w:color="auto" w:fill="auto"/>
            <w:vAlign w:val="center"/>
          </w:tcPr>
          <w:p w14:paraId="21764CE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联系电话</w:t>
            </w:r>
          </w:p>
        </w:tc>
        <w:tc>
          <w:tcPr>
            <w:tcW w:w="3834"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59BB73A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电话：</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手机：</w:t>
            </w:r>
          </w:p>
        </w:tc>
      </w:tr>
      <w:tr w14:paraId="5BEC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pct"/>
            <w:tcBorders>
              <w:top w:val="single" w:color="auto" w:sz="4" w:space="0"/>
              <w:left w:val="single" w:color="auto" w:sz="4" w:space="0"/>
              <w:bottom w:val="single" w:color="auto" w:sz="4" w:space="0"/>
              <w:right w:val="single" w:color="auto" w:sz="4" w:space="0"/>
            </w:tcBorders>
            <w:shd w:val="clear" w:color="auto" w:fill="auto"/>
            <w:vAlign w:val="center"/>
          </w:tcPr>
          <w:p w14:paraId="342BB58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通信地址及邮编</w:t>
            </w:r>
          </w:p>
        </w:tc>
        <w:tc>
          <w:tcPr>
            <w:tcW w:w="191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6C443C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p>
        </w:tc>
        <w:tc>
          <w:tcPr>
            <w:tcW w:w="68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7E370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邮箱</w:t>
            </w:r>
          </w:p>
        </w:tc>
        <w:tc>
          <w:tcPr>
            <w:tcW w:w="123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CF8EE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p>
        </w:tc>
      </w:tr>
      <w:tr w14:paraId="317F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jc w:val="center"/>
        </w:trPr>
        <w:tc>
          <w:tcPr>
            <w:tcW w:w="1165" w:type="pct"/>
            <w:tcBorders>
              <w:top w:val="single" w:color="auto" w:sz="4" w:space="0"/>
              <w:left w:val="single" w:color="auto" w:sz="4" w:space="0"/>
              <w:bottom w:val="single" w:color="auto" w:sz="4" w:space="0"/>
              <w:right w:val="single" w:color="auto" w:sz="4" w:space="0"/>
            </w:tcBorders>
            <w:shd w:val="clear" w:color="auto" w:fill="auto"/>
            <w:vAlign w:val="center"/>
          </w:tcPr>
          <w:p w14:paraId="3F3D52F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审查项目名称</w:t>
            </w:r>
          </w:p>
        </w:tc>
        <w:tc>
          <w:tcPr>
            <w:tcW w:w="3834"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EC6F4D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4"/>
                <w:szCs w:val="24"/>
              </w:rPr>
            </w:pPr>
          </w:p>
        </w:tc>
      </w:tr>
      <w:tr w14:paraId="65BC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8" w:hRule="atLeast"/>
          <w:jc w:val="center"/>
        </w:trPr>
        <w:tc>
          <w:tcPr>
            <w:tcW w:w="5000" w:type="pct"/>
            <w:gridSpan w:val="8"/>
            <w:tcBorders>
              <w:top w:val="single" w:color="auto" w:sz="4" w:space="0"/>
              <w:left w:val="single" w:color="auto" w:sz="4" w:space="0"/>
              <w:bottom w:val="single" w:color="auto" w:sz="4" w:space="0"/>
              <w:right w:val="single" w:color="auto" w:sz="4" w:space="0"/>
            </w:tcBorders>
            <w:shd w:val="clear" w:color="auto" w:fill="auto"/>
            <w:vAlign w:val="top"/>
          </w:tcPr>
          <w:p w14:paraId="143C88A5">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099AB375">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09AD21B3">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4838E983">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54B7F7AB">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010A1D43">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11F13CB0">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2AF34653">
            <w:pPr>
              <w:pStyle w:val="14"/>
              <w:widowControl/>
              <w:spacing w:before="0" w:beforeAutospacing="1"/>
              <w:ind w:leftChars="200" w:right="0" w:firstLine="480"/>
              <w:rPr>
                <w:rFonts w:hint="default" w:ascii="Times New Roman" w:hAnsi="Times New Roman" w:eastAsia="宋体" w:cs="Times New Roman"/>
                <w:color w:val="auto"/>
                <w:kern w:val="2"/>
                <w:sz w:val="24"/>
                <w:szCs w:val="24"/>
              </w:rPr>
            </w:pPr>
          </w:p>
          <w:p w14:paraId="472682F5">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49B4D5EC">
            <w:pPr>
              <w:pStyle w:val="14"/>
              <w:widowControl/>
              <w:spacing w:before="0" w:beforeAutospacing="1"/>
              <w:ind w:leftChars="200" w:right="0" w:firstLine="480"/>
              <w:rPr>
                <w:rFonts w:hint="default" w:ascii="Times New Roman" w:hAnsi="Times New Roman" w:eastAsia="宋体" w:cs="Times New Roman"/>
                <w:color w:val="auto"/>
                <w:kern w:val="2"/>
                <w:sz w:val="24"/>
                <w:szCs w:val="24"/>
              </w:rPr>
            </w:pPr>
          </w:p>
          <w:p w14:paraId="4703C331">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65603449">
            <w:pPr>
              <w:pStyle w:val="14"/>
              <w:widowControl/>
              <w:spacing w:before="0" w:beforeAutospacing="1"/>
              <w:ind w:leftChars="200" w:right="0" w:firstLine="480"/>
              <w:rPr>
                <w:rFonts w:hint="default" w:ascii="Times New Roman" w:hAnsi="Times New Roman" w:eastAsia="宋体" w:cs="Times New Roman"/>
                <w:color w:val="auto"/>
                <w:kern w:val="2"/>
                <w:sz w:val="24"/>
                <w:szCs w:val="24"/>
              </w:rPr>
            </w:pPr>
          </w:p>
          <w:p w14:paraId="461DE6C5">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4CF11A5D">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2"/>
                <w:sz w:val="24"/>
                <w:szCs w:val="24"/>
              </w:rPr>
            </w:pPr>
          </w:p>
          <w:p w14:paraId="102FC30D">
            <w:pPr>
              <w:keepNext w:val="0"/>
              <w:keepLines w:val="0"/>
              <w:widowControl w:val="0"/>
              <w:suppressLineNumbers w:val="0"/>
              <w:spacing w:before="0" w:beforeAutospacing="0" w:after="0" w:afterAutospacing="0"/>
              <w:ind w:left="0" w:right="0" w:firstLine="1200" w:firstLineChars="500"/>
              <w:jc w:val="both"/>
              <w:rPr>
                <w:rFonts w:hint="default" w:ascii="Times New Roman" w:hAnsi="Times New Roman" w:eastAsia="宋体" w:cs="Times New Roman"/>
                <w:color w:val="auto"/>
                <w:kern w:val="2"/>
                <w:sz w:val="24"/>
                <w:szCs w:val="24"/>
              </w:rPr>
            </w:pPr>
          </w:p>
          <w:p w14:paraId="0C417F45">
            <w:pPr>
              <w:keepNext w:val="0"/>
              <w:keepLines w:val="0"/>
              <w:widowControl w:val="0"/>
              <w:suppressLineNumbers w:val="0"/>
              <w:spacing w:before="0" w:beforeAutospacing="0" w:after="0" w:afterAutospacing="0"/>
              <w:ind w:left="0" w:right="0" w:firstLine="1200" w:firstLineChars="5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专家签名：</w:t>
            </w:r>
          </w:p>
          <w:p w14:paraId="15A868B9">
            <w:pPr>
              <w:keepNext w:val="0"/>
              <w:keepLines w:val="0"/>
              <w:widowControl w:val="0"/>
              <w:suppressLineNumbers w:val="0"/>
              <w:spacing w:before="0" w:beforeAutospacing="0" w:after="0" w:afterAutospacing="0"/>
              <w:ind w:left="0" w:right="0" w:firstLine="1200" w:firstLineChars="500"/>
              <w:jc w:val="both"/>
              <w:rPr>
                <w:rFonts w:hint="default" w:ascii="Times New Roman" w:hAnsi="Times New Roman" w:eastAsia="宋体" w:cs="Times New Roman"/>
                <w:color w:val="auto"/>
                <w:kern w:val="2"/>
                <w:sz w:val="24"/>
                <w:szCs w:val="24"/>
              </w:rPr>
            </w:pPr>
          </w:p>
          <w:p w14:paraId="1F6DD7B8">
            <w:pPr>
              <w:keepNext w:val="0"/>
              <w:keepLines w:val="0"/>
              <w:widowControl w:val="0"/>
              <w:suppressLineNumbers w:val="0"/>
              <w:spacing w:before="0" w:beforeAutospacing="0" w:after="0" w:afterAutospacing="0"/>
              <w:ind w:left="0" w:right="0" w:firstLine="720" w:firstLineChars="3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p>
          <w:p w14:paraId="6AC8FEF2">
            <w:pPr>
              <w:keepNext w:val="0"/>
              <w:keepLines w:val="0"/>
              <w:widowControl w:val="0"/>
              <w:suppressLineNumbers w:val="0"/>
              <w:spacing w:before="0" w:beforeAutospacing="0" w:after="0" w:afterAutospacing="0"/>
              <w:ind w:left="0" w:right="0" w:firstLine="5040" w:firstLineChars="21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年</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月</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日</w:t>
            </w:r>
          </w:p>
        </w:tc>
      </w:tr>
    </w:tbl>
    <w:p w14:paraId="2D769DE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36"/>
          <w:szCs w:val="36"/>
        </w:rPr>
      </w:pPr>
      <w:r>
        <w:rPr>
          <w:rFonts w:hint="default" w:ascii="Times New Roman" w:hAnsi="Times New Roman" w:eastAsia="宋体" w:cs="Times New Roman"/>
          <w:color w:val="auto"/>
          <w:kern w:val="2"/>
          <w:sz w:val="36"/>
          <w:szCs w:val="36"/>
          <w:lang w:val="en-US" w:eastAsia="zh-CN" w:bidi="ar"/>
        </w:rPr>
        <w:t xml:space="preserve"> </w:t>
      </w:r>
    </w:p>
    <w:p w14:paraId="72BEABCB">
      <w:pPr>
        <w:keepNext w:val="0"/>
        <w:keepLines w:val="0"/>
        <w:widowControl w:val="0"/>
        <w:suppressLineNumbers w:val="0"/>
        <w:overflowPunct w:val="0"/>
        <w:spacing w:before="0" w:beforeAutospacing="0" w:after="0" w:afterAutospacing="0" w:line="578" w:lineRule="exact"/>
        <w:ind w:left="0" w:right="0"/>
        <w:jc w:val="both"/>
        <w:rPr>
          <w:rFonts w:hint="default" w:ascii="Times New Roman" w:hAnsi="Times New Roman" w:eastAsia="黑体" w:cs="Times New Roman"/>
          <w:color w:val="auto"/>
          <w:kern w:val="2"/>
          <w:sz w:val="32"/>
          <w:szCs w:val="32"/>
        </w:rPr>
      </w:pPr>
      <w:r>
        <w:rPr>
          <w:rFonts w:hint="default" w:ascii="Times New Roman" w:hAnsi="Times New Roman" w:eastAsia="黑体" w:cs="Times New Roman"/>
          <w:color w:val="auto"/>
          <w:kern w:val="2"/>
          <w:sz w:val="32"/>
          <w:szCs w:val="32"/>
          <w:lang w:val="en-US" w:eastAsia="zh-CN" w:bidi="ar"/>
        </w:rPr>
        <w:t>附件5</w:t>
      </w:r>
    </w:p>
    <w:p w14:paraId="36DAD4D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36"/>
          <w:szCs w:val="36"/>
        </w:rPr>
      </w:pPr>
      <w:r>
        <w:rPr>
          <w:rFonts w:hint="default" w:ascii="Times New Roman" w:hAnsi="Times New Roman" w:eastAsia="宋体" w:cs="Times New Roman"/>
          <w:color w:val="auto"/>
          <w:kern w:val="2"/>
          <w:sz w:val="36"/>
          <w:szCs w:val="36"/>
          <w:lang w:val="en-US" w:eastAsia="zh-CN" w:bidi="ar"/>
        </w:rPr>
        <w:t xml:space="preserve"> </w:t>
      </w:r>
    </w:p>
    <w:p w14:paraId="1EC087CD">
      <w:pPr>
        <w:keepNext w:val="0"/>
        <w:keepLines w:val="0"/>
        <w:widowControl w:val="0"/>
        <w:suppressLineNumbers w:val="0"/>
        <w:wordWrap w:val="0"/>
        <w:overflowPunct w:val="0"/>
        <w:adjustRightInd w:val="0"/>
        <w:snapToGrid w:val="0"/>
        <w:spacing w:before="0" w:beforeAutospacing="0" w:after="156" w:afterLines="50" w:afterAutospacing="0" w:line="578" w:lineRule="exact"/>
        <w:ind w:left="0" w:right="0"/>
        <w:jc w:val="center"/>
        <w:rPr>
          <w:rFonts w:hint="default" w:ascii="方正小标宋简体" w:hAnsi="方正小标宋简体" w:eastAsia="方正小标宋简体" w:cs="方正小标宋简体"/>
          <w:color w:val="auto"/>
          <w:kern w:val="2"/>
          <w:sz w:val="44"/>
          <w:szCs w:val="44"/>
          <w:lang w:val="en-US" w:eastAsia="zh-CN" w:bidi="ar"/>
        </w:rPr>
      </w:pPr>
      <w:r>
        <w:rPr>
          <w:rFonts w:hint="default" w:ascii="方正小标宋简体" w:hAnsi="方正小标宋简体" w:eastAsia="方正小标宋简体" w:cs="方正小标宋简体"/>
          <w:color w:val="auto"/>
          <w:kern w:val="2"/>
          <w:sz w:val="44"/>
          <w:szCs w:val="44"/>
          <w:lang w:val="en-US" w:eastAsia="zh-CN" w:bidi="ar"/>
        </w:rPr>
        <w:t>承  诺  书</w:t>
      </w:r>
    </w:p>
    <w:p w14:paraId="59E3593E">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color w:val="auto"/>
          <w:kern w:val="2"/>
          <w:sz w:val="36"/>
          <w:szCs w:val="36"/>
        </w:rPr>
      </w:pPr>
      <w:r>
        <w:rPr>
          <w:rFonts w:hint="eastAsia" w:ascii="宋体" w:hAnsi="宋体" w:eastAsia="宋体" w:cs="宋体"/>
          <w:color w:val="auto"/>
          <w:kern w:val="2"/>
          <w:sz w:val="36"/>
          <w:szCs w:val="36"/>
          <w:lang w:val="en-US" w:eastAsia="zh-CN" w:bidi="ar"/>
        </w:rPr>
        <w:t>（参考模板）</w:t>
      </w:r>
    </w:p>
    <w:p w14:paraId="6E3B0B69">
      <w:pPr>
        <w:keepNext w:val="0"/>
        <w:keepLines w:val="0"/>
        <w:widowControl w:val="0"/>
        <w:suppressLineNumbers w:val="0"/>
        <w:spacing w:before="0" w:beforeAutospacing="0" w:after="0" w:afterAutospacing="0"/>
        <w:ind w:left="0" w:right="0"/>
        <w:jc w:val="both"/>
        <w:rPr>
          <w:rFonts w:hint="eastAsia"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lang w:val="en-US" w:eastAsia="zh-CN" w:bidi="ar"/>
        </w:rPr>
        <w:t xml:space="preserve"> </w:t>
      </w:r>
    </w:p>
    <w:p w14:paraId="516A496A">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lang w:val="en-US" w:eastAsia="zh-CN" w:bidi="ar"/>
        </w:rPr>
        <w:t>我单位郑重承诺，***项目安全预评价报告（或安全设施设计专篇）编制不存在资质出租、出借的情形。不存在未参与建设项目安全评价活动的人员在报告或者有关原始记录上签字的情况，或参与项目的设计、校核、审核人员均为本单位正式职工。</w:t>
      </w:r>
    </w:p>
    <w:p w14:paraId="4A7F555A">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lang w:val="en-US" w:eastAsia="zh-CN" w:bidi="ar"/>
        </w:rPr>
        <w:t xml:space="preserve"> </w:t>
      </w:r>
    </w:p>
    <w:p w14:paraId="0D071074">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lang w:val="en-US" w:eastAsia="zh-CN" w:bidi="ar"/>
        </w:rPr>
        <w:t xml:space="preserve"> </w:t>
      </w:r>
    </w:p>
    <w:p w14:paraId="4F2DDBD7">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lang w:val="en-US" w:eastAsia="zh-CN" w:bidi="ar"/>
        </w:rPr>
        <w:t xml:space="preserve">           ***安全预评价（或安全设施设计）公司</w:t>
      </w:r>
    </w:p>
    <w:p w14:paraId="713C7FD1">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lang w:val="en-US" w:eastAsia="zh-CN" w:bidi="ar"/>
        </w:rPr>
        <w:t xml:space="preserve">                    20**年*月*日</w:t>
      </w:r>
    </w:p>
    <w:p w14:paraId="34629126">
      <w:pPr>
        <w:rPr>
          <w:rFonts w:hint="eastAsia" w:ascii="Times New Roman" w:hAnsi="Times New Roman" w:eastAsia="宋体" w:cs="Times New Roman"/>
          <w:color w:val="auto"/>
          <w:kern w:val="2"/>
          <w:sz w:val="32"/>
          <w:szCs w:val="32"/>
        </w:rPr>
      </w:pPr>
    </w:p>
    <w:p w14:paraId="061A8C3D">
      <w:pPr>
        <w:rPr>
          <w:rFonts w:hint="eastAsia" w:ascii="Times New Roman" w:hAnsi="Times New Roman" w:eastAsia="宋体" w:cs="Times New Roman"/>
          <w:color w:val="auto"/>
          <w:kern w:val="2"/>
          <w:sz w:val="32"/>
          <w:szCs w:val="32"/>
        </w:rPr>
      </w:pPr>
    </w:p>
    <w:p w14:paraId="1C4540CE">
      <w:pPr>
        <w:rPr>
          <w:rFonts w:hint="eastAsia" w:ascii="Times New Roman" w:hAnsi="Times New Roman" w:eastAsia="宋体" w:cs="Times New Roman"/>
          <w:color w:val="auto"/>
          <w:kern w:val="2"/>
          <w:sz w:val="32"/>
          <w:szCs w:val="32"/>
        </w:rPr>
      </w:pPr>
    </w:p>
    <w:p w14:paraId="2646A39E">
      <w:pPr>
        <w:rPr>
          <w:rFonts w:hint="eastAsia" w:ascii="Times New Roman" w:hAnsi="Times New Roman" w:eastAsia="宋体" w:cs="Times New Roman"/>
          <w:color w:val="auto"/>
          <w:kern w:val="2"/>
          <w:sz w:val="32"/>
          <w:szCs w:val="32"/>
        </w:rPr>
      </w:pPr>
    </w:p>
    <w:p w14:paraId="5CCF6F15">
      <w:pPr>
        <w:rPr>
          <w:rFonts w:hint="eastAsia" w:ascii="Times New Roman" w:hAnsi="Times New Roman" w:eastAsia="宋体" w:cs="Times New Roman"/>
          <w:color w:val="auto"/>
          <w:kern w:val="2"/>
          <w:sz w:val="32"/>
          <w:szCs w:val="32"/>
        </w:rPr>
      </w:pPr>
    </w:p>
    <w:p w14:paraId="579E95E6">
      <w:pPr>
        <w:rPr>
          <w:rFonts w:hint="eastAsia" w:ascii="Times New Roman" w:hAnsi="Times New Roman" w:eastAsia="宋体" w:cs="Times New Roman"/>
          <w:color w:val="auto"/>
          <w:kern w:val="2"/>
          <w:sz w:val="32"/>
          <w:szCs w:val="32"/>
        </w:rPr>
      </w:pPr>
    </w:p>
    <w:p w14:paraId="26FC3FC2">
      <w:pPr>
        <w:overflowPunct/>
        <w:spacing w:line="576" w:lineRule="exact"/>
        <w:rPr>
          <w:rFonts w:ascii="Times New Roman" w:hAnsi="Times New Roman" w:cs="Times New Roman"/>
          <w:color w:val="auto"/>
        </w:rPr>
      </w:pPr>
      <w:r>
        <w:rPr>
          <w:rFonts w:hint="eastAsia" w:ascii="Times New Roman" w:hAnsi="Times New Roman" w:eastAsia="仿宋_GB2312" w:cs="仿宋_GB2312"/>
          <w:b w:val="0"/>
          <w:bCs w:val="0"/>
          <w:color w:val="auto"/>
          <w:sz w:val="28"/>
          <w:szCs w:val="28"/>
          <w:highlight w:val="none"/>
          <w:u w:val="none"/>
        </w:rPr>
        <mc:AlternateContent>
          <mc:Choice Requires="wps">
            <w:drawing>
              <wp:anchor distT="0" distB="0" distL="114300" distR="114300" simplePos="0" relativeHeight="251659264" behindDoc="0" locked="0" layoutInCell="1" allowOverlap="1">
                <wp:simplePos x="0" y="0"/>
                <wp:positionH relativeFrom="column">
                  <wp:posOffset>-18415</wp:posOffset>
                </wp:positionH>
                <wp:positionV relativeFrom="paragraph">
                  <wp:posOffset>421640</wp:posOffset>
                </wp:positionV>
                <wp:extent cx="56521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52135" cy="635"/>
                        </a:xfrm>
                        <a:prstGeom prst="line">
                          <a:avLst/>
                        </a:prstGeom>
                        <a:ln w="12700" cap="flat" cmpd="sng">
                          <a:solidFill>
                            <a:srgbClr val="000000"/>
                          </a:solidFill>
                          <a:prstDash val="solid"/>
                          <a:round/>
                          <a:headEnd type="none" w="med" len="med"/>
                          <a:tailEnd type="none" w="med" len="med"/>
                        </a:ln>
                      </wps:spPr>
                      <wps:bodyPr upright="0"/>
                    </wps:wsp>
                  </a:graphicData>
                </a:graphic>
              </wp:anchor>
            </w:drawing>
          </mc:Choice>
          <mc:Fallback>
            <w:pict>
              <v:line id="_x0000_s1026" o:spid="_x0000_s1026" o:spt="20" style="position:absolute;left:0pt;margin-left:-1.45pt;margin-top:33.2pt;height:0.05pt;width:445.05pt;z-index:251659264;mso-width-relative:page;mso-height-relative:page;" filled="f" stroked="t" coordsize="21600,21600" o:gfxdata="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aWydPYAAAACAEAAA8AAAAAAAAAAQAgAAAAIgAAAGRycy9kb3ducmV2Lnht&#10;bFBLAQIUABQAAAAIAIdO4kCvgXg7+QEAAPEDAAAOAAAAAAAAAAEAIAAAACcBAABkcnMvZTJvRG9j&#10;LnhtbFBLBQYAAAAABgAGAFkBAACSBQAAAAA=&#10;">
                <v:fill on="f" focussize="0,0"/>
                <v:stroke weight="1pt" color="#000000" joinstyle="round"/>
                <v:imagedata o:title=""/>
                <o:lock v:ext="edit" aspectratio="f"/>
              </v:line>
            </w:pict>
          </mc:Fallback>
        </mc:AlternateContent>
      </w:r>
      <w:r>
        <w:rPr>
          <w:rFonts w:hint="eastAsia" w:ascii="Times New Roman" w:hAnsi="Times New Roman" w:eastAsia="仿宋_GB2312" w:cs="仿宋_GB2312"/>
          <w:b w:val="0"/>
          <w:bCs w:val="0"/>
          <w:color w:val="auto"/>
          <w:sz w:val="28"/>
          <w:szCs w:val="28"/>
          <w:highlight w:val="none"/>
          <w:u w:val="none"/>
        </w:rPr>
        <mc:AlternateContent>
          <mc:Choice Requires="wps">
            <w:drawing>
              <wp:anchor distT="0" distB="0" distL="114300" distR="114300" simplePos="0" relativeHeight="251660288" behindDoc="0" locked="0" layoutInCell="1" allowOverlap="1">
                <wp:simplePos x="0" y="0"/>
                <wp:positionH relativeFrom="column">
                  <wp:posOffset>-18415</wp:posOffset>
                </wp:positionH>
                <wp:positionV relativeFrom="paragraph">
                  <wp:posOffset>34290</wp:posOffset>
                </wp:positionV>
                <wp:extent cx="5652135" cy="635"/>
                <wp:effectExtent l="0" t="0" r="0" b="0"/>
                <wp:wrapNone/>
                <wp:docPr id="8" name="直接连接符 8"/>
                <wp:cNvGraphicFramePr/>
                <a:graphic xmlns:a="http://schemas.openxmlformats.org/drawingml/2006/main">
                  <a:graphicData uri="http://schemas.microsoft.com/office/word/2010/wordprocessingShape">
                    <wps:wsp>
                      <wps:cNvCnPr/>
                      <wps:spPr>
                        <a:xfrm>
                          <a:off x="0" y="0"/>
                          <a:ext cx="5652135" cy="635"/>
                        </a:xfrm>
                        <a:prstGeom prst="line">
                          <a:avLst/>
                        </a:prstGeom>
                        <a:ln w="12700" cap="flat" cmpd="sng">
                          <a:solidFill>
                            <a:srgbClr val="000000"/>
                          </a:solidFill>
                          <a:prstDash val="solid"/>
                          <a:round/>
                          <a:headEnd type="none" w="med" len="med"/>
                          <a:tailEnd type="none" w="med" len="med"/>
                        </a:ln>
                      </wps:spPr>
                      <wps:bodyPr upright="0"/>
                    </wps:wsp>
                  </a:graphicData>
                </a:graphic>
              </wp:anchor>
            </w:drawing>
          </mc:Choice>
          <mc:Fallback>
            <w:pict>
              <v:line id="_x0000_s1026" o:spid="_x0000_s1026" o:spt="20" style="position:absolute;left:0pt;margin-left:-1.45pt;margin-top:2.7pt;height:0.05pt;width:445.05pt;z-index:251660288;mso-width-relative:page;mso-height-relative:page;" filled="f" stroked="t" coordsize="21600,21600" o:gfxdata="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2+ZqdYAAAAGAQAADwAAAAAAAAABACAAAAAiAAAAZHJzL2Rvd25yZXYueG1s&#10;UEsBAhQAFAAAAAgAh07iQLTNaMf6AQAA8QMAAA4AAAAAAAAAAQAgAAAAJQEAAGRycy9lMm9Eb2Mu&#10;eG1sUEsFBgAAAAAGAAYAWQEAAJEFAAAAAA==&#10;">
                <v:fill on="f" focussize="0,0"/>
                <v:stroke weight="1pt" color="#000000" joinstyle="round"/>
                <v:imagedata o:title=""/>
                <o:lock v:ext="edit" aspectratio="f"/>
              </v:line>
            </w:pict>
          </mc:Fallback>
        </mc:AlternateContent>
      </w:r>
      <w:r>
        <w:rPr>
          <w:rFonts w:hint="eastAsia" w:ascii="Times New Roman" w:hAnsi="Times New Roman" w:eastAsia="仿宋_GB2312" w:cs="仿宋_GB2312"/>
          <w:b w:val="0"/>
          <w:bCs w:val="0"/>
          <w:color w:val="auto"/>
          <w:sz w:val="28"/>
          <w:szCs w:val="28"/>
          <w:highlight w:val="none"/>
          <w:u w:val="none"/>
        </w:rPr>
        <w:t xml:space="preserve">  </w:t>
      </w:r>
      <w:r>
        <w:rPr>
          <w:rFonts w:hint="eastAsia" w:ascii="Times New Roman" w:hAnsi="Times New Roman" w:eastAsia="仿宋_GB2312" w:cs="仿宋_GB2312"/>
          <w:color w:val="auto"/>
          <w:sz w:val="28"/>
          <w:szCs w:val="28"/>
        </w:rPr>
        <w:t>湖北省</w:t>
      </w:r>
      <w:r>
        <w:rPr>
          <w:rFonts w:hint="eastAsia" w:ascii="Times New Roman" w:hAnsi="Times New Roman" w:eastAsia="仿宋_GB2312" w:cs="仿宋_GB2312"/>
          <w:color w:val="auto"/>
          <w:sz w:val="28"/>
          <w:szCs w:val="28"/>
          <w:lang w:val="en-US" w:eastAsia="zh-CN"/>
        </w:rPr>
        <w:t>应急管理厅</w:t>
      </w:r>
      <w:r>
        <w:rPr>
          <w:rFonts w:hint="eastAsia" w:ascii="Times New Roman" w:hAnsi="Times New Roman" w:eastAsia="仿宋_GB2312" w:cs="仿宋_GB2312"/>
          <w:color w:val="auto"/>
          <w:sz w:val="28"/>
          <w:szCs w:val="28"/>
        </w:rPr>
        <w:t xml:space="preserve">办公室 </w:t>
      </w:r>
      <w:r>
        <w:rPr>
          <w:rFonts w:hint="eastAsia" w:ascii="Times New Roman" w:hAnsi="Times New Roman" w:eastAsia="仿宋_GB2312" w:cs="仿宋_GB2312"/>
          <w:color w:val="auto"/>
          <w:sz w:val="28"/>
          <w:szCs w:val="28"/>
          <w:lang w:val="en-US" w:eastAsia="zh-CN"/>
        </w:rPr>
        <w:t xml:space="preserve">                </w:t>
      </w:r>
      <w:r>
        <w:rPr>
          <w:rFonts w:hint="eastAsia" w:ascii="Times New Roman" w:hAnsi="Times New Roman" w:eastAsia="仿宋_GB2312" w:cs="仿宋_GB2312"/>
          <w:color w:val="auto"/>
          <w:sz w:val="28"/>
          <w:szCs w:val="28"/>
        </w:rPr>
        <w:t xml:space="preserve"> 20</w:t>
      </w:r>
      <w:r>
        <w:rPr>
          <w:rFonts w:hint="eastAsia" w:ascii="Times New Roman" w:hAnsi="Times New Roman" w:eastAsia="仿宋_GB2312" w:cs="仿宋_GB2312"/>
          <w:color w:val="auto"/>
          <w:sz w:val="28"/>
          <w:szCs w:val="28"/>
          <w:lang w:val="en-US" w:eastAsia="zh-CN"/>
        </w:rPr>
        <w:t>26</w:t>
      </w:r>
      <w:r>
        <w:rPr>
          <w:rFonts w:hint="eastAsia" w:ascii="Times New Roman" w:hAnsi="Times New Roman" w:eastAsia="仿宋_GB2312" w:cs="仿宋_GB2312"/>
          <w:color w:val="auto"/>
          <w:sz w:val="28"/>
          <w:szCs w:val="28"/>
        </w:rPr>
        <w:t>年</w:t>
      </w:r>
      <w:r>
        <w:rPr>
          <w:rFonts w:hint="eastAsia" w:ascii="Times New Roman" w:hAnsi="Times New Roman" w:eastAsia="仿宋_GB2312" w:cs="仿宋_GB2312"/>
          <w:color w:val="auto"/>
          <w:sz w:val="28"/>
          <w:szCs w:val="28"/>
          <w:lang w:val="en-US" w:eastAsia="zh-CN"/>
        </w:rPr>
        <w:t>5</w:t>
      </w:r>
      <w:r>
        <w:rPr>
          <w:rFonts w:hint="eastAsia" w:ascii="Times New Roman" w:hAnsi="Times New Roman" w:eastAsia="仿宋_GB2312" w:cs="仿宋_GB2312"/>
          <w:color w:val="auto"/>
          <w:sz w:val="28"/>
          <w:szCs w:val="28"/>
        </w:rPr>
        <w:t>月</w:t>
      </w:r>
      <w:r>
        <w:rPr>
          <w:rFonts w:hint="eastAsia" w:ascii="Times New Roman" w:hAnsi="Times New Roman" w:eastAsia="仿宋_GB2312" w:cs="仿宋_GB2312"/>
          <w:color w:val="auto"/>
          <w:sz w:val="28"/>
          <w:szCs w:val="28"/>
          <w:lang w:val="en-US" w:eastAsia="zh-CN"/>
        </w:rPr>
        <w:t>28</w:t>
      </w:r>
      <w:r>
        <w:rPr>
          <w:rFonts w:hint="eastAsia" w:ascii="Times New Roman" w:hAnsi="Times New Roman" w:eastAsia="仿宋_GB2312" w:cs="仿宋_GB2312"/>
          <w:color w:val="auto"/>
          <w:sz w:val="28"/>
          <w:szCs w:val="28"/>
        </w:rPr>
        <w:t>日印发</w:t>
      </w:r>
      <w:r>
        <w:rPr>
          <w:rFonts w:hint="eastAsia" w:ascii="Times New Roman" w:hAnsi="Times New Roman" w:eastAsia="仿宋_GB2312" w:cs="仿宋_GB2312"/>
          <w:color w:val="auto"/>
          <w:sz w:val="28"/>
          <w:szCs w:val="28"/>
          <w:lang w:val="en-US" w:eastAsia="zh-CN"/>
        </w:rPr>
        <w:t xml:space="preserve">  </w:t>
      </w:r>
    </w:p>
    <w:sectPr>
      <w:footerReference r:id="rId5" w:type="first"/>
      <w:footerReference r:id="rId3" w:type="default"/>
      <w:footerReference r:id="rId4" w:type="even"/>
      <w:pgSz w:w="11906" w:h="16838"/>
      <w:pgMar w:top="2098" w:right="1531" w:bottom="1984" w:left="1531" w:header="851" w:footer="1474" w:gutter="0"/>
      <w:cols w:space="0" w:num="1"/>
      <w:titlePg/>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A61F89-8A4D-4A60-A74A-D84350539F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B334CEB-C593-4EBF-A16E-3A12E9CA9486}"/>
  </w:font>
  <w:font w:name="仿宋_GB2312">
    <w:panose1 w:val="02010609030101010101"/>
    <w:charset w:val="86"/>
    <w:family w:val="modern"/>
    <w:pitch w:val="default"/>
    <w:sig w:usb0="00000001" w:usb1="080E0000" w:usb2="00000000" w:usb3="00000000" w:csb0="00040000" w:csb1="00000000"/>
    <w:embedRegular r:id="rId3" w:fontKey="{F27C5BD4-F90E-47A9-AE54-4120151A27E7}"/>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国标黑体">
    <w:altName w:val="黑体"/>
    <w:panose1 w:val="020005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1FA31">
    <w:pPr>
      <w:pStyle w:val="10"/>
      <w:keepNext w:val="0"/>
      <w:keepLines w:val="0"/>
      <w:pageBreakBefore w:val="0"/>
      <w:widowControl w:val="0"/>
      <w:kinsoku/>
      <w:wordWrap/>
      <w:overflowPunct/>
      <w:topLinePunct w:val="0"/>
      <w:bidi w:val="0"/>
      <w:adjustRightInd/>
      <w:snapToGrid w:val="0"/>
      <w:spacing w:line="240" w:lineRule="auto"/>
      <w:ind w:left="420" w:leftChars="200" w:right="420" w:rightChars="200"/>
      <w:jc w:val="right"/>
      <w:textAlignment w:val="auto"/>
    </w:pPr>
    <w:r>
      <w:rPr>
        <w:rFonts w:hint="eastAsia" w:asciiTheme="minorEastAsia" w:hAnsiTheme="minorEastAsia" w:eastAsiaTheme="minorEastAsia" w:cstheme="minorEastAsia"/>
        <w:sz w:val="28"/>
      </w:rPr>
      <w:t xml:space="preserve">— </w:t>
    </w:r>
    <w:r>
      <w:rPr>
        <w:rFonts w:hint="eastAsia" w:asciiTheme="minorEastAsia" w:hAnsiTheme="minorEastAsia" w:eastAsiaTheme="minorEastAsia" w:cstheme="minorEastAsia"/>
        <w:sz w:val="28"/>
      </w:rPr>
      <w:fldChar w:fldCharType="begin"/>
    </w:r>
    <w:r>
      <w:rPr>
        <w:rFonts w:hint="eastAsia" w:asciiTheme="minorEastAsia" w:hAnsiTheme="minorEastAsia" w:eastAsiaTheme="minorEastAsia" w:cstheme="minorEastAsia"/>
        <w:sz w:val="28"/>
      </w:rPr>
      <w:instrText xml:space="preserve"> PAGE  \* MERGEFORMAT </w:instrText>
    </w:r>
    <w:r>
      <w:rPr>
        <w:rFonts w:hint="eastAsia" w:asciiTheme="minorEastAsia" w:hAnsiTheme="minorEastAsia" w:eastAsiaTheme="minorEastAsia" w:cstheme="minorEastAsia"/>
        <w:sz w:val="28"/>
      </w:rPr>
      <w:fldChar w:fldCharType="separate"/>
    </w:r>
    <w:r>
      <w:rPr>
        <w:rFonts w:hint="eastAsia" w:asciiTheme="minorEastAsia" w:hAnsiTheme="minorEastAsia" w:eastAsiaTheme="minorEastAsia" w:cstheme="minorEastAsia"/>
        <w:sz w:val="28"/>
      </w:rPr>
      <w:t>2</w:t>
    </w:r>
    <w:r>
      <w:rPr>
        <w:rFonts w:hint="eastAsia" w:asciiTheme="minorEastAsia" w:hAnsiTheme="minorEastAsia" w:eastAsiaTheme="minorEastAsia" w:cstheme="minorEastAsia"/>
        <w:sz w:val="28"/>
      </w:rPr>
      <w:fldChar w:fldCharType="end"/>
    </w:r>
    <w:r>
      <w:rPr>
        <w:rFonts w:hint="eastAsia" w:asciiTheme="minorEastAsia" w:hAnsiTheme="minorEastAsia" w:eastAsiaTheme="minorEastAsia" w:cstheme="minorEastAsia"/>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2631F">
    <w:pPr>
      <w:pStyle w:val="10"/>
      <w:keepNext w:val="0"/>
      <w:keepLines w:val="0"/>
      <w:pageBreakBefore w:val="0"/>
      <w:widowControl w:val="0"/>
      <w:kinsoku/>
      <w:wordWrap/>
      <w:overflowPunct/>
      <w:topLinePunct w:val="0"/>
      <w:bidi w:val="0"/>
      <w:adjustRightInd/>
      <w:snapToGrid w:val="0"/>
      <w:spacing w:line="240" w:lineRule="auto"/>
      <w:ind w:left="420" w:leftChars="200" w:right="420" w:rightChars="200"/>
      <w:jc w:val="both"/>
      <w:textAlignment w:val="auto"/>
    </w:pPr>
    <w:r>
      <w:rPr>
        <w:rFonts w:hint="eastAsia" w:asciiTheme="minorEastAsia" w:hAnsiTheme="minorEastAsia" w:eastAsiaTheme="minorEastAsia" w:cstheme="minorEastAsia"/>
        <w:sz w:val="28"/>
      </w:rPr>
      <w:t xml:space="preserve">— </w:t>
    </w:r>
    <w:r>
      <w:rPr>
        <w:rFonts w:hint="eastAsia" w:asciiTheme="minorEastAsia" w:hAnsiTheme="minorEastAsia" w:eastAsiaTheme="minorEastAsia" w:cstheme="minorEastAsia"/>
        <w:sz w:val="28"/>
      </w:rPr>
      <w:fldChar w:fldCharType="begin"/>
    </w:r>
    <w:r>
      <w:rPr>
        <w:rFonts w:hint="eastAsia" w:asciiTheme="minorEastAsia" w:hAnsiTheme="minorEastAsia" w:eastAsiaTheme="minorEastAsia" w:cstheme="minorEastAsia"/>
        <w:sz w:val="28"/>
      </w:rPr>
      <w:instrText xml:space="preserve"> PAGE  \* MERGEFORMAT </w:instrText>
    </w:r>
    <w:r>
      <w:rPr>
        <w:rFonts w:hint="eastAsia" w:asciiTheme="minorEastAsia" w:hAnsiTheme="minorEastAsia" w:eastAsiaTheme="minorEastAsia" w:cstheme="minorEastAsia"/>
        <w:sz w:val="28"/>
      </w:rPr>
      <w:fldChar w:fldCharType="separate"/>
    </w:r>
    <w:r>
      <w:rPr>
        <w:rFonts w:hint="eastAsia" w:asciiTheme="minorEastAsia" w:hAnsiTheme="minorEastAsia" w:eastAsiaTheme="minorEastAsia" w:cstheme="minorEastAsia"/>
        <w:sz w:val="28"/>
      </w:rPr>
      <w:t>2</w:t>
    </w:r>
    <w:r>
      <w:rPr>
        <w:rFonts w:hint="eastAsia" w:asciiTheme="minorEastAsia" w:hAnsiTheme="minorEastAsia" w:eastAsiaTheme="minorEastAsia" w:cstheme="minorEastAsia"/>
        <w:sz w:val="28"/>
      </w:rPr>
      <w:fldChar w:fldCharType="end"/>
    </w:r>
    <w:r>
      <w:rPr>
        <w:rFonts w:hint="eastAsia" w:asciiTheme="minorEastAsia" w:hAnsiTheme="minorEastAsia" w:eastAsiaTheme="minorEastAsia" w:cstheme="minorEastAsia"/>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DABCC">
    <w:pPr>
      <w:pStyle w:val="10"/>
      <w:keepNext w:val="0"/>
      <w:keepLines w:val="0"/>
      <w:pageBreakBefore w:val="0"/>
      <w:widowControl w:val="0"/>
      <w:kinsoku/>
      <w:wordWrap/>
      <w:overflowPunct/>
      <w:topLinePunct w:val="0"/>
      <w:bidi w:val="0"/>
      <w:adjustRightInd/>
      <w:snapToGrid w:val="0"/>
      <w:spacing w:line="240" w:lineRule="auto"/>
      <w:ind w:left="420" w:leftChars="200" w:right="420" w:rightChars="200"/>
      <w:jc w:val="right"/>
      <w:textAlignment w:val="auto"/>
      <w:rPr>
        <w:rFonts w:hint="eastAsia"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r>
      <w:rPr>
        <w:rFonts w:hint="eastAsia" w:asciiTheme="minorEastAsia" w:hAnsiTheme="minorEastAsia" w:eastAsiaTheme="minorEastAsia" w:cstheme="minorEastAsia"/>
        <w:sz w:val="28"/>
      </w:rPr>
      <w:fldChar w:fldCharType="begin"/>
    </w:r>
    <w:r>
      <w:rPr>
        <w:rFonts w:hint="eastAsia" w:asciiTheme="minorEastAsia" w:hAnsiTheme="minorEastAsia" w:eastAsiaTheme="minorEastAsia" w:cstheme="minorEastAsia"/>
        <w:sz w:val="28"/>
      </w:rPr>
      <w:instrText xml:space="preserve"> PAGE  \* MERGEFORMAT </w:instrText>
    </w:r>
    <w:r>
      <w:rPr>
        <w:rFonts w:hint="eastAsia" w:asciiTheme="minorEastAsia" w:hAnsiTheme="minorEastAsia" w:eastAsiaTheme="minorEastAsia" w:cstheme="minorEastAsia"/>
        <w:sz w:val="28"/>
      </w:rPr>
      <w:fldChar w:fldCharType="separate"/>
    </w:r>
    <w:r>
      <w:rPr>
        <w:rFonts w:hint="eastAsia" w:asciiTheme="minorEastAsia" w:hAnsiTheme="minorEastAsia" w:eastAsiaTheme="minorEastAsia" w:cstheme="minorEastAsia"/>
        <w:sz w:val="28"/>
      </w:rPr>
      <w:t>2</w:t>
    </w:r>
    <w:r>
      <w:rPr>
        <w:rFonts w:hint="eastAsia" w:asciiTheme="minorEastAsia" w:hAnsiTheme="minorEastAsia" w:eastAsiaTheme="minorEastAsia" w:cstheme="minorEastAsia"/>
        <w:sz w:val="28"/>
      </w:rPr>
      <w:fldChar w:fldCharType="end"/>
    </w:r>
    <w:r>
      <w:rPr>
        <w:rFonts w:hint="eastAsia" w:asciiTheme="minorEastAsia" w:hAnsiTheme="minorEastAsia" w:eastAsiaTheme="minorEastAsia" w:cstheme="minorEastAsia"/>
        <w:sz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C6A40D"/>
    <w:multiLevelType w:val="multilevel"/>
    <w:tmpl w:val="CFC6A40D"/>
    <w:lvl w:ilvl="0" w:tentative="0">
      <w:start w:val="3"/>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5EEDC6C3"/>
    <w:multiLevelType w:val="multilevel"/>
    <w:tmpl w:val="5EEDC6C3"/>
    <w:lvl w:ilvl="0" w:tentative="0">
      <w:start w:val="19"/>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793E4F7F"/>
    <w:multiLevelType w:val="multilevel"/>
    <w:tmpl w:val="793E4F7F"/>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evenAndOddHeaders w:val="1"/>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D5538C"/>
    <w:rsid w:val="000857CD"/>
    <w:rsid w:val="001216ED"/>
    <w:rsid w:val="00127604"/>
    <w:rsid w:val="001D5A42"/>
    <w:rsid w:val="00213A36"/>
    <w:rsid w:val="00296046"/>
    <w:rsid w:val="00307FAB"/>
    <w:rsid w:val="003425FA"/>
    <w:rsid w:val="0038515F"/>
    <w:rsid w:val="004A50A7"/>
    <w:rsid w:val="004E1C15"/>
    <w:rsid w:val="0050342D"/>
    <w:rsid w:val="00532ECE"/>
    <w:rsid w:val="005B5F82"/>
    <w:rsid w:val="005C4216"/>
    <w:rsid w:val="005C4F97"/>
    <w:rsid w:val="005C6D57"/>
    <w:rsid w:val="00652B01"/>
    <w:rsid w:val="00690F14"/>
    <w:rsid w:val="006B0C3D"/>
    <w:rsid w:val="006B3708"/>
    <w:rsid w:val="006B5E82"/>
    <w:rsid w:val="007607AF"/>
    <w:rsid w:val="007655D2"/>
    <w:rsid w:val="0077039E"/>
    <w:rsid w:val="007F5B70"/>
    <w:rsid w:val="00803E9A"/>
    <w:rsid w:val="008E04D1"/>
    <w:rsid w:val="009145C8"/>
    <w:rsid w:val="009A6423"/>
    <w:rsid w:val="00A552AF"/>
    <w:rsid w:val="00AB37E1"/>
    <w:rsid w:val="00AC6ACE"/>
    <w:rsid w:val="00AF0243"/>
    <w:rsid w:val="00B23E1B"/>
    <w:rsid w:val="00B31B15"/>
    <w:rsid w:val="00B362D4"/>
    <w:rsid w:val="00B51CCA"/>
    <w:rsid w:val="00B76F5A"/>
    <w:rsid w:val="00BB7959"/>
    <w:rsid w:val="00BE4BD5"/>
    <w:rsid w:val="00CF5C6A"/>
    <w:rsid w:val="00D03CA1"/>
    <w:rsid w:val="00D6644B"/>
    <w:rsid w:val="00D75071"/>
    <w:rsid w:val="00DB6F94"/>
    <w:rsid w:val="00E04C71"/>
    <w:rsid w:val="00E60C30"/>
    <w:rsid w:val="00ED3484"/>
    <w:rsid w:val="00F71D58"/>
    <w:rsid w:val="00FA7CC4"/>
    <w:rsid w:val="00FE727C"/>
    <w:rsid w:val="00FF096E"/>
    <w:rsid w:val="03A762C0"/>
    <w:rsid w:val="044010E1"/>
    <w:rsid w:val="044047CC"/>
    <w:rsid w:val="046B474E"/>
    <w:rsid w:val="04777165"/>
    <w:rsid w:val="04D07A99"/>
    <w:rsid w:val="05015BBF"/>
    <w:rsid w:val="05651E25"/>
    <w:rsid w:val="06865E71"/>
    <w:rsid w:val="07150D31"/>
    <w:rsid w:val="073F18AE"/>
    <w:rsid w:val="09797729"/>
    <w:rsid w:val="09D3202D"/>
    <w:rsid w:val="09F434DA"/>
    <w:rsid w:val="0A5C32C7"/>
    <w:rsid w:val="0C2228AF"/>
    <w:rsid w:val="0CF802FB"/>
    <w:rsid w:val="0EB876E0"/>
    <w:rsid w:val="0EEF26E2"/>
    <w:rsid w:val="0FC77D51"/>
    <w:rsid w:val="0FFD62B7"/>
    <w:rsid w:val="1011612B"/>
    <w:rsid w:val="10627FA9"/>
    <w:rsid w:val="114554AC"/>
    <w:rsid w:val="12E63573"/>
    <w:rsid w:val="12EA61CA"/>
    <w:rsid w:val="12FE287C"/>
    <w:rsid w:val="132B1154"/>
    <w:rsid w:val="13C232FA"/>
    <w:rsid w:val="14075612"/>
    <w:rsid w:val="14506BC5"/>
    <w:rsid w:val="147D389A"/>
    <w:rsid w:val="1559035F"/>
    <w:rsid w:val="157C4658"/>
    <w:rsid w:val="15B69A31"/>
    <w:rsid w:val="166604BC"/>
    <w:rsid w:val="16C610D1"/>
    <w:rsid w:val="16E12F09"/>
    <w:rsid w:val="173A5F17"/>
    <w:rsid w:val="180C6BE2"/>
    <w:rsid w:val="1864257A"/>
    <w:rsid w:val="18A30404"/>
    <w:rsid w:val="18EB4A4A"/>
    <w:rsid w:val="18F25DD8"/>
    <w:rsid w:val="19CA5F98"/>
    <w:rsid w:val="1A045164"/>
    <w:rsid w:val="1A4D670F"/>
    <w:rsid w:val="1B3F4755"/>
    <w:rsid w:val="1CCC7378"/>
    <w:rsid w:val="1CD94060"/>
    <w:rsid w:val="1D1722B1"/>
    <w:rsid w:val="1D7A708A"/>
    <w:rsid w:val="1DBD97CE"/>
    <w:rsid w:val="1DDB3041"/>
    <w:rsid w:val="1DEF36A8"/>
    <w:rsid w:val="1DF74691"/>
    <w:rsid w:val="1E3706FF"/>
    <w:rsid w:val="1EFB1B85"/>
    <w:rsid w:val="1F394B6E"/>
    <w:rsid w:val="1FC972B5"/>
    <w:rsid w:val="1FCB23B7"/>
    <w:rsid w:val="1FEDF15A"/>
    <w:rsid w:val="1FF6DE21"/>
    <w:rsid w:val="209A17A4"/>
    <w:rsid w:val="209F4C3A"/>
    <w:rsid w:val="211B7E6E"/>
    <w:rsid w:val="218D3703"/>
    <w:rsid w:val="22A2261D"/>
    <w:rsid w:val="22DC2E82"/>
    <w:rsid w:val="2312638A"/>
    <w:rsid w:val="235D645E"/>
    <w:rsid w:val="23992A16"/>
    <w:rsid w:val="23D56C9D"/>
    <w:rsid w:val="24534659"/>
    <w:rsid w:val="25713508"/>
    <w:rsid w:val="25AE17BE"/>
    <w:rsid w:val="269571AB"/>
    <w:rsid w:val="26A069F6"/>
    <w:rsid w:val="26DC19A5"/>
    <w:rsid w:val="274F43F6"/>
    <w:rsid w:val="27991A02"/>
    <w:rsid w:val="281B6C7D"/>
    <w:rsid w:val="285F4D4D"/>
    <w:rsid w:val="290B51E5"/>
    <w:rsid w:val="29431740"/>
    <w:rsid w:val="29B6075C"/>
    <w:rsid w:val="29F34B2D"/>
    <w:rsid w:val="2A180428"/>
    <w:rsid w:val="2A7F7FDF"/>
    <w:rsid w:val="2ADFD17A"/>
    <w:rsid w:val="2B56573A"/>
    <w:rsid w:val="2B7E5FD4"/>
    <w:rsid w:val="2BF7B0CE"/>
    <w:rsid w:val="2C1C010E"/>
    <w:rsid w:val="2C614DE6"/>
    <w:rsid w:val="2D5653ED"/>
    <w:rsid w:val="2E3B1AF8"/>
    <w:rsid w:val="2EF94174"/>
    <w:rsid w:val="2EFD3C1B"/>
    <w:rsid w:val="2F6F9F78"/>
    <w:rsid w:val="2F8F164E"/>
    <w:rsid w:val="2F9960A2"/>
    <w:rsid w:val="2F9E5410"/>
    <w:rsid w:val="2FDF8B7C"/>
    <w:rsid w:val="2FE9952A"/>
    <w:rsid w:val="2FEF4B71"/>
    <w:rsid w:val="2FFE4E6A"/>
    <w:rsid w:val="2FFFDB62"/>
    <w:rsid w:val="31352342"/>
    <w:rsid w:val="31716E7B"/>
    <w:rsid w:val="31772FDC"/>
    <w:rsid w:val="31D54CE5"/>
    <w:rsid w:val="31F2410E"/>
    <w:rsid w:val="33291F9F"/>
    <w:rsid w:val="338F52EF"/>
    <w:rsid w:val="33FF271D"/>
    <w:rsid w:val="34001D62"/>
    <w:rsid w:val="341D1DA7"/>
    <w:rsid w:val="342F32AD"/>
    <w:rsid w:val="34885E26"/>
    <w:rsid w:val="3503585B"/>
    <w:rsid w:val="3575A49C"/>
    <w:rsid w:val="36891E0D"/>
    <w:rsid w:val="36CF4360"/>
    <w:rsid w:val="36D5538C"/>
    <w:rsid w:val="36EB0C22"/>
    <w:rsid w:val="36FBC8E4"/>
    <w:rsid w:val="3737579D"/>
    <w:rsid w:val="373A5C4D"/>
    <w:rsid w:val="373C0344"/>
    <w:rsid w:val="375A0985"/>
    <w:rsid w:val="377F2E5C"/>
    <w:rsid w:val="377F4176"/>
    <w:rsid w:val="379117CF"/>
    <w:rsid w:val="37F24F2B"/>
    <w:rsid w:val="37FE8F12"/>
    <w:rsid w:val="37FF4E4C"/>
    <w:rsid w:val="38B54B1B"/>
    <w:rsid w:val="38BD3302"/>
    <w:rsid w:val="38E93F5C"/>
    <w:rsid w:val="39973243"/>
    <w:rsid w:val="3A122018"/>
    <w:rsid w:val="3AFB517E"/>
    <w:rsid w:val="3BB1601D"/>
    <w:rsid w:val="3BE7E410"/>
    <w:rsid w:val="3BEF7059"/>
    <w:rsid w:val="3BFC40D1"/>
    <w:rsid w:val="3C5C15D6"/>
    <w:rsid w:val="3CFBB502"/>
    <w:rsid w:val="3DEE2052"/>
    <w:rsid w:val="3DF79233"/>
    <w:rsid w:val="3E7E5333"/>
    <w:rsid w:val="3EB63280"/>
    <w:rsid w:val="3EE64F8F"/>
    <w:rsid w:val="3EFEFC64"/>
    <w:rsid w:val="3F3F0733"/>
    <w:rsid w:val="3F3F165C"/>
    <w:rsid w:val="3F5C4C4E"/>
    <w:rsid w:val="3F5E2485"/>
    <w:rsid w:val="3F627589"/>
    <w:rsid w:val="3F6C5FF8"/>
    <w:rsid w:val="3FC48F6A"/>
    <w:rsid w:val="3FE44D30"/>
    <w:rsid w:val="3FFC725E"/>
    <w:rsid w:val="3FFE0582"/>
    <w:rsid w:val="3FFFB4A7"/>
    <w:rsid w:val="400A06FF"/>
    <w:rsid w:val="4037219C"/>
    <w:rsid w:val="409C0212"/>
    <w:rsid w:val="40CF687B"/>
    <w:rsid w:val="418F57C6"/>
    <w:rsid w:val="427E7176"/>
    <w:rsid w:val="43282273"/>
    <w:rsid w:val="439E6B62"/>
    <w:rsid w:val="43CF51AE"/>
    <w:rsid w:val="449B69D0"/>
    <w:rsid w:val="44D57EB7"/>
    <w:rsid w:val="45195000"/>
    <w:rsid w:val="45FE39CD"/>
    <w:rsid w:val="46291BC7"/>
    <w:rsid w:val="46C439D4"/>
    <w:rsid w:val="46F5B606"/>
    <w:rsid w:val="4711505D"/>
    <w:rsid w:val="478C3A0A"/>
    <w:rsid w:val="48573FD2"/>
    <w:rsid w:val="4871646A"/>
    <w:rsid w:val="49FF62EE"/>
    <w:rsid w:val="4AFE6B41"/>
    <w:rsid w:val="4AFF5FAF"/>
    <w:rsid w:val="4B5B1686"/>
    <w:rsid w:val="4C540A2E"/>
    <w:rsid w:val="4C6C68B6"/>
    <w:rsid w:val="4D8737DA"/>
    <w:rsid w:val="4E6E0A7D"/>
    <w:rsid w:val="4EBB1654"/>
    <w:rsid w:val="4F31425D"/>
    <w:rsid w:val="4FB3485B"/>
    <w:rsid w:val="5149C791"/>
    <w:rsid w:val="51BA7928"/>
    <w:rsid w:val="51F7178E"/>
    <w:rsid w:val="52210ED5"/>
    <w:rsid w:val="53AD3A03"/>
    <w:rsid w:val="541D4546"/>
    <w:rsid w:val="549D4BB3"/>
    <w:rsid w:val="54B0031A"/>
    <w:rsid w:val="54DE7715"/>
    <w:rsid w:val="560C7DFD"/>
    <w:rsid w:val="564A1161"/>
    <w:rsid w:val="57FEB606"/>
    <w:rsid w:val="582157B7"/>
    <w:rsid w:val="596FECBB"/>
    <w:rsid w:val="599F7451"/>
    <w:rsid w:val="59E201FD"/>
    <w:rsid w:val="5AE10365"/>
    <w:rsid w:val="5B281732"/>
    <w:rsid w:val="5BAF4D24"/>
    <w:rsid w:val="5BEB4858"/>
    <w:rsid w:val="5BF97B5E"/>
    <w:rsid w:val="5BF98B1F"/>
    <w:rsid w:val="5C4956B2"/>
    <w:rsid w:val="5CAF5066"/>
    <w:rsid w:val="5CCD584A"/>
    <w:rsid w:val="5D181936"/>
    <w:rsid w:val="5EBF50B8"/>
    <w:rsid w:val="5ED6E09A"/>
    <w:rsid w:val="5EF73384"/>
    <w:rsid w:val="5F343FED"/>
    <w:rsid w:val="5FBDBEBB"/>
    <w:rsid w:val="5FDD1975"/>
    <w:rsid w:val="5FE22FB0"/>
    <w:rsid w:val="60CB54D6"/>
    <w:rsid w:val="61665FE8"/>
    <w:rsid w:val="617E0E5C"/>
    <w:rsid w:val="61CA2624"/>
    <w:rsid w:val="622C7897"/>
    <w:rsid w:val="63775846"/>
    <w:rsid w:val="63FF21A2"/>
    <w:rsid w:val="640B7CFF"/>
    <w:rsid w:val="64EF53D8"/>
    <w:rsid w:val="65BF6775"/>
    <w:rsid w:val="65FDA50E"/>
    <w:rsid w:val="666F06E4"/>
    <w:rsid w:val="66A33B61"/>
    <w:rsid w:val="66A74EB5"/>
    <w:rsid w:val="66CFC1AA"/>
    <w:rsid w:val="66F32F5E"/>
    <w:rsid w:val="67906107"/>
    <w:rsid w:val="67A953B9"/>
    <w:rsid w:val="67B70598"/>
    <w:rsid w:val="67F3F958"/>
    <w:rsid w:val="684D1F03"/>
    <w:rsid w:val="68706417"/>
    <w:rsid w:val="689A4644"/>
    <w:rsid w:val="69863E96"/>
    <w:rsid w:val="6997760C"/>
    <w:rsid w:val="6B7ABD6D"/>
    <w:rsid w:val="6BAFA18A"/>
    <w:rsid w:val="6BCDA17B"/>
    <w:rsid w:val="6BFB2549"/>
    <w:rsid w:val="6C6210F2"/>
    <w:rsid w:val="6CF92406"/>
    <w:rsid w:val="6CFF64C0"/>
    <w:rsid w:val="6D3F57D2"/>
    <w:rsid w:val="6DBB5620"/>
    <w:rsid w:val="6E095596"/>
    <w:rsid w:val="6E7A6185"/>
    <w:rsid w:val="6EDB1B76"/>
    <w:rsid w:val="6F3F225E"/>
    <w:rsid w:val="6F8C53E3"/>
    <w:rsid w:val="6FABA03C"/>
    <w:rsid w:val="6FAC445F"/>
    <w:rsid w:val="6FBA116F"/>
    <w:rsid w:val="6FDFE133"/>
    <w:rsid w:val="6FFE8B11"/>
    <w:rsid w:val="70362B98"/>
    <w:rsid w:val="705A7B09"/>
    <w:rsid w:val="707A5477"/>
    <w:rsid w:val="71B4455B"/>
    <w:rsid w:val="71D96685"/>
    <w:rsid w:val="7206314B"/>
    <w:rsid w:val="722162DC"/>
    <w:rsid w:val="7240236A"/>
    <w:rsid w:val="72A33122"/>
    <w:rsid w:val="72E5739B"/>
    <w:rsid w:val="73307DA2"/>
    <w:rsid w:val="73873B67"/>
    <w:rsid w:val="739B8447"/>
    <w:rsid w:val="73BA2FEB"/>
    <w:rsid w:val="73D43E1D"/>
    <w:rsid w:val="74972830"/>
    <w:rsid w:val="75891DB3"/>
    <w:rsid w:val="758A2545"/>
    <w:rsid w:val="75F78D16"/>
    <w:rsid w:val="75FAF2F2"/>
    <w:rsid w:val="75FF1E01"/>
    <w:rsid w:val="769FBDF2"/>
    <w:rsid w:val="76B5E18D"/>
    <w:rsid w:val="76BC3310"/>
    <w:rsid w:val="76FD08BB"/>
    <w:rsid w:val="7717264D"/>
    <w:rsid w:val="77657984"/>
    <w:rsid w:val="7775ACC7"/>
    <w:rsid w:val="77776CC0"/>
    <w:rsid w:val="77A321ED"/>
    <w:rsid w:val="77F3FFB3"/>
    <w:rsid w:val="77FFA5F0"/>
    <w:rsid w:val="7803782D"/>
    <w:rsid w:val="78544995"/>
    <w:rsid w:val="78E54AA3"/>
    <w:rsid w:val="78F661BB"/>
    <w:rsid w:val="797BC438"/>
    <w:rsid w:val="79EF8794"/>
    <w:rsid w:val="79FA31D8"/>
    <w:rsid w:val="79FB0E01"/>
    <w:rsid w:val="79FF97CE"/>
    <w:rsid w:val="7A5F801E"/>
    <w:rsid w:val="7ACB8A80"/>
    <w:rsid w:val="7AF34986"/>
    <w:rsid w:val="7AF71464"/>
    <w:rsid w:val="7AF93650"/>
    <w:rsid w:val="7AFE0240"/>
    <w:rsid w:val="7B60032F"/>
    <w:rsid w:val="7B7F9263"/>
    <w:rsid w:val="7BAD0F4A"/>
    <w:rsid w:val="7BCA1980"/>
    <w:rsid w:val="7BDABD69"/>
    <w:rsid w:val="7BDDD1E8"/>
    <w:rsid w:val="7C7DEBFF"/>
    <w:rsid w:val="7CECFBC3"/>
    <w:rsid w:val="7CFEA3B4"/>
    <w:rsid w:val="7D256900"/>
    <w:rsid w:val="7D606776"/>
    <w:rsid w:val="7DDFED98"/>
    <w:rsid w:val="7DEFA2F6"/>
    <w:rsid w:val="7DF6A381"/>
    <w:rsid w:val="7DF741E1"/>
    <w:rsid w:val="7DFAA9ED"/>
    <w:rsid w:val="7DFECAED"/>
    <w:rsid w:val="7E3F6014"/>
    <w:rsid w:val="7E7399BD"/>
    <w:rsid w:val="7E7C6987"/>
    <w:rsid w:val="7E7F5728"/>
    <w:rsid w:val="7EC96DB4"/>
    <w:rsid w:val="7ED7D6BB"/>
    <w:rsid w:val="7EDFBC2E"/>
    <w:rsid w:val="7EE7B304"/>
    <w:rsid w:val="7EF89C2D"/>
    <w:rsid w:val="7F0E3553"/>
    <w:rsid w:val="7F2B8EF1"/>
    <w:rsid w:val="7F3D3A34"/>
    <w:rsid w:val="7F5F35A0"/>
    <w:rsid w:val="7F5FC201"/>
    <w:rsid w:val="7F6C8A4F"/>
    <w:rsid w:val="7F6F9A97"/>
    <w:rsid w:val="7F715036"/>
    <w:rsid w:val="7F7614CF"/>
    <w:rsid w:val="7F7F4CA4"/>
    <w:rsid w:val="7F7FD94C"/>
    <w:rsid w:val="7F946426"/>
    <w:rsid w:val="7F9806B9"/>
    <w:rsid w:val="7FB103D7"/>
    <w:rsid w:val="7FCF388D"/>
    <w:rsid w:val="7FDF4A2C"/>
    <w:rsid w:val="7FDFE75A"/>
    <w:rsid w:val="7FE79CC0"/>
    <w:rsid w:val="7FF36D16"/>
    <w:rsid w:val="7FF65CC8"/>
    <w:rsid w:val="7FF7C824"/>
    <w:rsid w:val="7FF7D435"/>
    <w:rsid w:val="7FF7DD5F"/>
    <w:rsid w:val="7FF95EFA"/>
    <w:rsid w:val="7FFB213B"/>
    <w:rsid w:val="7FFB4186"/>
    <w:rsid w:val="7FFF313E"/>
    <w:rsid w:val="7FFF70BE"/>
    <w:rsid w:val="7FFF7DC6"/>
    <w:rsid w:val="7FFFB4E5"/>
    <w:rsid w:val="7FFFBA9B"/>
    <w:rsid w:val="85BF9B64"/>
    <w:rsid w:val="9D6F04FE"/>
    <w:rsid w:val="9DFF5036"/>
    <w:rsid w:val="9F7F0227"/>
    <w:rsid w:val="A70526A8"/>
    <w:rsid w:val="AAFBA962"/>
    <w:rsid w:val="ADFF1E36"/>
    <w:rsid w:val="AE7F8009"/>
    <w:rsid w:val="AEEFBB27"/>
    <w:rsid w:val="AF9FF6C4"/>
    <w:rsid w:val="AFEE98D3"/>
    <w:rsid w:val="B43E1EC8"/>
    <w:rsid w:val="B5BBA823"/>
    <w:rsid w:val="B7FD29DB"/>
    <w:rsid w:val="B94DBD20"/>
    <w:rsid w:val="BAFAF114"/>
    <w:rsid w:val="BBEFE43C"/>
    <w:rsid w:val="BBF8F303"/>
    <w:rsid w:val="BC7AC875"/>
    <w:rsid w:val="BCEB1E7D"/>
    <w:rsid w:val="BD77A892"/>
    <w:rsid w:val="BDD764B9"/>
    <w:rsid w:val="BDDFFFDA"/>
    <w:rsid w:val="BDFA32EA"/>
    <w:rsid w:val="BEDE2119"/>
    <w:rsid w:val="BEDF23EE"/>
    <w:rsid w:val="BEFB17DB"/>
    <w:rsid w:val="BEFF6548"/>
    <w:rsid w:val="BF775E83"/>
    <w:rsid w:val="BF9EA1B9"/>
    <w:rsid w:val="BF9F4C39"/>
    <w:rsid w:val="BFB603BA"/>
    <w:rsid w:val="BFBB7BA9"/>
    <w:rsid w:val="BFCAC95F"/>
    <w:rsid w:val="BFCF54AF"/>
    <w:rsid w:val="BFEE8D34"/>
    <w:rsid w:val="BFEFD669"/>
    <w:rsid w:val="C6C3D679"/>
    <w:rsid w:val="C7FB6023"/>
    <w:rsid w:val="CB51F0EB"/>
    <w:rsid w:val="CDCBAEE3"/>
    <w:rsid w:val="CFEB68E6"/>
    <w:rsid w:val="CFF374DE"/>
    <w:rsid w:val="D4D95A5C"/>
    <w:rsid w:val="D6AEDC8F"/>
    <w:rsid w:val="D76FC117"/>
    <w:rsid w:val="D7B25D70"/>
    <w:rsid w:val="D7BF749F"/>
    <w:rsid w:val="D7F20509"/>
    <w:rsid w:val="D7FB3CF5"/>
    <w:rsid w:val="D7FD712A"/>
    <w:rsid w:val="D9D7F16F"/>
    <w:rsid w:val="DB7C1468"/>
    <w:rsid w:val="DBFE4095"/>
    <w:rsid w:val="DBFE45F1"/>
    <w:rsid w:val="DC5F2F8F"/>
    <w:rsid w:val="DC7E4A63"/>
    <w:rsid w:val="DDE791D8"/>
    <w:rsid w:val="DDEDCC51"/>
    <w:rsid w:val="DDFF16D1"/>
    <w:rsid w:val="DE63D3EA"/>
    <w:rsid w:val="DEBF06B6"/>
    <w:rsid w:val="DEFF2A34"/>
    <w:rsid w:val="DF6DEFEC"/>
    <w:rsid w:val="DF7FCC0C"/>
    <w:rsid w:val="DFB7B17D"/>
    <w:rsid w:val="DFBF2383"/>
    <w:rsid w:val="DFCFAD56"/>
    <w:rsid w:val="DFDD0CD1"/>
    <w:rsid w:val="DFDF98D7"/>
    <w:rsid w:val="DFEB2EFB"/>
    <w:rsid w:val="DFFBB42A"/>
    <w:rsid w:val="DFFCEDC6"/>
    <w:rsid w:val="E5F9C566"/>
    <w:rsid w:val="E73F211B"/>
    <w:rsid w:val="E7DF3C7E"/>
    <w:rsid w:val="E87FA35D"/>
    <w:rsid w:val="EAD58A6E"/>
    <w:rsid w:val="EAEBF592"/>
    <w:rsid w:val="EB7F6336"/>
    <w:rsid w:val="EBDF2188"/>
    <w:rsid w:val="EDE6D2F6"/>
    <w:rsid w:val="EDEFB8CE"/>
    <w:rsid w:val="EE7B81C2"/>
    <w:rsid w:val="EE7B9AEA"/>
    <w:rsid w:val="EEBF6335"/>
    <w:rsid w:val="EF3F6FE3"/>
    <w:rsid w:val="EF7A5004"/>
    <w:rsid w:val="EF9F1C9C"/>
    <w:rsid w:val="EFBEC090"/>
    <w:rsid w:val="EFBF47D0"/>
    <w:rsid w:val="F3FAA2FC"/>
    <w:rsid w:val="F4EBBAF6"/>
    <w:rsid w:val="F6EDCFA4"/>
    <w:rsid w:val="F7374808"/>
    <w:rsid w:val="F73FDADC"/>
    <w:rsid w:val="F7732B75"/>
    <w:rsid w:val="F7AA6AE9"/>
    <w:rsid w:val="F7C7A7FD"/>
    <w:rsid w:val="F7DE0BC5"/>
    <w:rsid w:val="F7DEAB9F"/>
    <w:rsid w:val="F7DF585C"/>
    <w:rsid w:val="F7DFFA9B"/>
    <w:rsid w:val="F7EE1B78"/>
    <w:rsid w:val="F7F074CE"/>
    <w:rsid w:val="F7FB57AB"/>
    <w:rsid w:val="F7FD7447"/>
    <w:rsid w:val="F7FF1B8D"/>
    <w:rsid w:val="F7FF9A28"/>
    <w:rsid w:val="F93F2B14"/>
    <w:rsid w:val="F95EB9DF"/>
    <w:rsid w:val="F9BB0746"/>
    <w:rsid w:val="F9F7B83E"/>
    <w:rsid w:val="F9FF6F1C"/>
    <w:rsid w:val="FAFB67A9"/>
    <w:rsid w:val="FBBFC165"/>
    <w:rsid w:val="FBEF5E13"/>
    <w:rsid w:val="FBF7B400"/>
    <w:rsid w:val="FBFA5B48"/>
    <w:rsid w:val="FC7FC93E"/>
    <w:rsid w:val="FCE7F162"/>
    <w:rsid w:val="FDBFA8A3"/>
    <w:rsid w:val="FDCFD03E"/>
    <w:rsid w:val="FDD9934E"/>
    <w:rsid w:val="FDE4B765"/>
    <w:rsid w:val="FDFD4E44"/>
    <w:rsid w:val="FDFED4B6"/>
    <w:rsid w:val="FDFF7AD3"/>
    <w:rsid w:val="FE6FD594"/>
    <w:rsid w:val="FE7A217D"/>
    <w:rsid w:val="FE8E61CC"/>
    <w:rsid w:val="FE978824"/>
    <w:rsid w:val="FEDEB4D9"/>
    <w:rsid w:val="FEE37749"/>
    <w:rsid w:val="FF1F544F"/>
    <w:rsid w:val="FF3F8897"/>
    <w:rsid w:val="FF77065A"/>
    <w:rsid w:val="FF7729DB"/>
    <w:rsid w:val="FFA79F1D"/>
    <w:rsid w:val="FFAF26A5"/>
    <w:rsid w:val="FFAFF2D3"/>
    <w:rsid w:val="FFBEF387"/>
    <w:rsid w:val="FFBF7636"/>
    <w:rsid w:val="FFD198A6"/>
    <w:rsid w:val="FFDB7FEC"/>
    <w:rsid w:val="FFFCF0EF"/>
    <w:rsid w:val="FFFDE86F"/>
    <w:rsid w:val="FFFFF5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3"/>
    <w:qFormat/>
    <w:uiPriority w:val="0"/>
    <w:pPr>
      <w:keepNext/>
      <w:keepLines/>
      <w:ind w:firstLine="640" w:firstLineChars="200"/>
      <w:jc w:val="left"/>
      <w:outlineLvl w:val="0"/>
    </w:pPr>
    <w:rPr>
      <w:rFonts w:ascii="Times New Roman" w:hAnsi="Times New Roman" w:eastAsia="黑体"/>
      <w:bCs/>
      <w:kern w:val="44"/>
      <w:sz w:val="32"/>
      <w:szCs w:val="36"/>
    </w:rPr>
  </w:style>
  <w:style w:type="paragraph" w:styleId="3">
    <w:name w:val="heading 2"/>
    <w:basedOn w:val="1"/>
    <w:next w:val="1"/>
    <w:link w:val="21"/>
    <w:semiHidden/>
    <w:unhideWhenUsed/>
    <w:qFormat/>
    <w:uiPriority w:val="0"/>
    <w:pPr>
      <w:keepNext/>
      <w:keepLines/>
      <w:spacing w:before="20" w:after="20"/>
      <w:ind w:firstLine="640" w:firstLineChars="200"/>
      <w:outlineLvl w:val="1"/>
    </w:pPr>
    <w:rPr>
      <w:rFonts w:ascii="Cambria" w:hAnsi="Cambria" w:eastAsia="楷体" w:cs="宋体"/>
      <w:b/>
      <w:bCs/>
      <w:sz w:val="28"/>
      <w:szCs w:val="32"/>
    </w:rPr>
  </w:style>
  <w:style w:type="paragraph" w:styleId="4">
    <w:name w:val="heading 3"/>
    <w:basedOn w:val="1"/>
    <w:next w:val="1"/>
    <w:link w:val="22"/>
    <w:semiHidden/>
    <w:unhideWhenUsed/>
    <w:qFormat/>
    <w:uiPriority w:val="0"/>
    <w:pPr>
      <w:keepNext/>
      <w:keepLines/>
      <w:ind w:firstLine="723" w:firstLineChars="200"/>
      <w:jc w:val="left"/>
      <w:outlineLvl w:val="2"/>
    </w:pPr>
    <w:rPr>
      <w:rFonts w:ascii="Times New Roman" w:hAnsi="Times New Roman"/>
      <w:b/>
      <w:color w:val="000000"/>
      <w:sz w:val="28"/>
    </w:rPr>
  </w:style>
  <w:style w:type="paragraph" w:styleId="5">
    <w:name w:val="heading 4"/>
    <w:basedOn w:val="1"/>
    <w:next w:val="1"/>
    <w:semiHidden/>
    <w:unhideWhenUsed/>
    <w:qFormat/>
    <w:uiPriority w:val="0"/>
    <w:pPr>
      <w:keepNext/>
      <w:keepLines/>
      <w:spacing w:line="372" w:lineRule="auto"/>
      <w:outlineLvl w:val="3"/>
    </w:pPr>
    <w:rPr>
      <w:rFonts w:ascii="Arial" w:hAnsi="Arial"/>
      <w:sz w:val="28"/>
    </w:rPr>
  </w:style>
  <w:style w:type="character" w:default="1" w:styleId="17">
    <w:name w:val="Default Paragraph Font"/>
    <w:semiHidden/>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next w:val="1"/>
    <w:qFormat/>
    <w:uiPriority w:val="0"/>
    <w:pPr>
      <w:ind w:firstLine="420" w:firstLineChars="200"/>
    </w:pPr>
    <w:rPr>
      <w:rFonts w:ascii="Times New Roman" w:hAnsi="Times New Roman" w:eastAsia="仿宋"/>
      <w:sz w:val="32"/>
    </w:rPr>
  </w:style>
  <w:style w:type="paragraph" w:styleId="7">
    <w:name w:val="annotation text"/>
    <w:basedOn w:val="1"/>
    <w:qFormat/>
    <w:uiPriority w:val="0"/>
    <w:pPr>
      <w:keepNext w:val="0"/>
      <w:keepLines w:val="0"/>
      <w:widowControl w:val="0"/>
      <w:suppressLineNumbers w:val="0"/>
      <w:spacing w:before="0" w:beforeAutospacing="0" w:after="0" w:afterAutospacing="0"/>
      <w:ind w:left="0" w:right="0"/>
      <w:jc w:val="left"/>
    </w:pPr>
    <w:rPr>
      <w:rFonts w:hint="default" w:ascii="Calibri" w:hAnsi="Calibri" w:eastAsia="宋体" w:cs="Times New Roman"/>
      <w:kern w:val="2"/>
      <w:sz w:val="21"/>
      <w:szCs w:val="21"/>
      <w:lang w:val="en-US" w:eastAsia="zh-CN" w:bidi="ar"/>
    </w:rPr>
  </w:style>
  <w:style w:type="paragraph" w:styleId="8">
    <w:name w:val="Body Text"/>
    <w:basedOn w:val="1"/>
    <w:qFormat/>
    <w:uiPriority w:val="0"/>
    <w:pPr>
      <w:spacing w:line="560" w:lineRule="exact"/>
      <w:ind w:firstLine="630" w:firstLineChars="200"/>
      <w:jc w:val="both"/>
    </w:pPr>
    <w:rPr>
      <w:rFonts w:ascii="仿宋_GB2312" w:hAnsi="仿宋_GB2312" w:eastAsia="仿宋_GB2312" w:cs="仿宋_GB2312"/>
      <w:spacing w:val="-6"/>
      <w:sz w:val="32"/>
      <w:szCs w:val="32"/>
      <w:lang w:val="en-US" w:eastAsia="zh-CN" w:bidi="ar-SA"/>
    </w:rPr>
  </w:style>
  <w:style w:type="paragraph" w:styleId="9">
    <w:name w:val="Body Text Indent"/>
    <w:basedOn w:val="1"/>
    <w:next w:val="6"/>
    <w:qFormat/>
    <w:uiPriority w:val="0"/>
    <w:pPr>
      <w:spacing w:after="120"/>
      <w:ind w:left="420" w:leftChars="200"/>
    </w:pPr>
    <w:rPr>
      <w:rFonts w:ascii="Times New Roman" w:hAnsi="Times New Roman"/>
    </w:rPr>
  </w:style>
  <w:style w:type="paragraph" w:styleId="10">
    <w:name w:val="footer"/>
    <w:basedOn w:val="1"/>
    <w:link w:val="26"/>
    <w:qFormat/>
    <w:uiPriority w:val="99"/>
    <w:pPr>
      <w:tabs>
        <w:tab w:val="center" w:pos="4153"/>
        <w:tab w:val="right" w:pos="8306"/>
      </w:tabs>
      <w:snapToGrid w:val="0"/>
      <w:jc w:val="left"/>
    </w:pPr>
    <w:rPr>
      <w:sz w:val="18"/>
      <w:szCs w:val="18"/>
    </w:rPr>
  </w:style>
  <w:style w:type="paragraph" w:styleId="11">
    <w:name w:val="header"/>
    <w:basedOn w:val="1"/>
    <w:link w:val="25"/>
    <w:qFormat/>
    <w:uiPriority w:val="0"/>
    <w:pPr>
      <w:tabs>
        <w:tab w:val="center" w:pos="4153"/>
        <w:tab w:val="right" w:pos="8306"/>
      </w:tabs>
      <w:snapToGrid w:val="0"/>
      <w:jc w:val="center"/>
    </w:pPr>
    <w:rPr>
      <w:sz w:val="18"/>
      <w:szCs w:val="18"/>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3">
    <w:name w:val="Normal (Web)"/>
    <w:basedOn w:val="1"/>
    <w:qFormat/>
    <w:uiPriority w:val="0"/>
    <w:rPr>
      <w:sz w:val="24"/>
    </w:rPr>
  </w:style>
  <w:style w:type="paragraph" w:styleId="14">
    <w:name w:val="Body Text First Indent 2"/>
    <w:basedOn w:val="9"/>
    <w:next w:val="1"/>
    <w:qFormat/>
    <w:uiPriority w:val="0"/>
    <w:pPr>
      <w:keepNext w:val="0"/>
      <w:keepLines w:val="0"/>
      <w:widowControl w:val="0"/>
      <w:suppressLineNumbers w:val="0"/>
      <w:spacing w:after="120" w:afterAutospacing="0"/>
      <w:ind w:left="420" w:leftChars="200" w:firstLine="420" w:firstLineChars="200"/>
      <w:jc w:val="both"/>
    </w:pPr>
    <w:rPr>
      <w:rFonts w:hint="default" w:ascii="Times New Roman" w:hAnsi="Times New Roman" w:eastAsia="宋体" w:cs="Times New Roman"/>
      <w:kern w:val="2"/>
      <w:sz w:val="21"/>
      <w:szCs w:val="21"/>
      <w:lang w:val="en-US" w:eastAsia="zh-CN" w:bidi="ar"/>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qFormat/>
    <w:uiPriority w:val="0"/>
    <w:rPr>
      <w:color w:val="356DF6"/>
      <w:u w:val="single"/>
    </w:rPr>
  </w:style>
  <w:style w:type="paragraph" w:customStyle="1" w:styleId="19">
    <w:name w:val="正文-公1"/>
    <w:basedOn w:val="1"/>
    <w:qFormat/>
    <w:uiPriority w:val="0"/>
    <w:pPr>
      <w:ind w:firstLine="200" w:firstLineChars="200"/>
    </w:pPr>
    <w:rPr>
      <w:rFonts w:cs="Calibri"/>
      <w:color w:val="000000"/>
      <w:szCs w:val="21"/>
    </w:rPr>
  </w:style>
  <w:style w:type="paragraph" w:customStyle="1" w:styleId="20">
    <w:name w:val="NormalIndent"/>
    <w:basedOn w:val="1"/>
    <w:qFormat/>
    <w:uiPriority w:val="0"/>
    <w:pPr>
      <w:ind w:firstLine="420" w:firstLineChars="200"/>
      <w:textAlignment w:val="baseline"/>
    </w:pPr>
    <w:rPr>
      <w:sz w:val="28"/>
      <w:szCs w:val="20"/>
    </w:rPr>
  </w:style>
  <w:style w:type="character" w:customStyle="1" w:styleId="21">
    <w:name w:val="标题 2 字符"/>
    <w:link w:val="3"/>
    <w:qFormat/>
    <w:uiPriority w:val="0"/>
    <w:rPr>
      <w:rFonts w:ascii="Times New Roman" w:hAnsi="Times New Roman" w:eastAsia="楷体" w:cs="宋体"/>
      <w:b/>
      <w:bCs/>
      <w:color w:val="000000"/>
      <w:kern w:val="2"/>
      <w:sz w:val="28"/>
      <w:szCs w:val="32"/>
      <w:lang w:val="zh-CN"/>
    </w:rPr>
  </w:style>
  <w:style w:type="character" w:customStyle="1" w:styleId="22">
    <w:name w:val="标题 3 字符"/>
    <w:link w:val="4"/>
    <w:qFormat/>
    <w:uiPriority w:val="0"/>
    <w:rPr>
      <w:rFonts w:ascii="Times New Roman" w:hAnsi="Times New Roman" w:eastAsia="宋体" w:cs="Times New Roman"/>
      <w:b/>
      <w:color w:val="000000"/>
      <w:sz w:val="28"/>
    </w:rPr>
  </w:style>
  <w:style w:type="character" w:customStyle="1" w:styleId="23">
    <w:name w:val="标题 1 字符"/>
    <w:link w:val="2"/>
    <w:qFormat/>
    <w:uiPriority w:val="0"/>
    <w:rPr>
      <w:rFonts w:ascii="Times New Roman" w:hAnsi="Times New Roman" w:eastAsia="黑体" w:cs="Times New Roman"/>
      <w:bCs/>
      <w:kern w:val="44"/>
      <w:sz w:val="32"/>
      <w:szCs w:val="36"/>
      <w:lang w:val="zh-CN"/>
    </w:rPr>
  </w:style>
  <w:style w:type="paragraph" w:customStyle="1" w:styleId="24">
    <w:name w:val="修订1"/>
    <w:hidden/>
    <w:unhideWhenUsed/>
    <w:qFormat/>
    <w:uiPriority w:val="99"/>
    <w:rPr>
      <w:rFonts w:ascii="Calibri" w:hAnsi="Calibri" w:eastAsia="宋体" w:cs="Times New Roman"/>
      <w:kern w:val="2"/>
      <w:sz w:val="21"/>
      <w:szCs w:val="22"/>
      <w:lang w:val="en-US" w:eastAsia="zh-CN" w:bidi="ar-SA"/>
    </w:rPr>
  </w:style>
  <w:style w:type="character" w:customStyle="1" w:styleId="25">
    <w:name w:val="页眉 字符"/>
    <w:basedOn w:val="17"/>
    <w:link w:val="11"/>
    <w:qFormat/>
    <w:uiPriority w:val="0"/>
    <w:rPr>
      <w:rFonts w:ascii="Calibri" w:hAnsi="Calibri"/>
      <w:kern w:val="2"/>
      <w:sz w:val="18"/>
      <w:szCs w:val="18"/>
    </w:rPr>
  </w:style>
  <w:style w:type="character" w:customStyle="1" w:styleId="26">
    <w:name w:val="页脚 字符"/>
    <w:basedOn w:val="17"/>
    <w:link w:val="10"/>
    <w:qFormat/>
    <w:uiPriority w:val="99"/>
    <w:rPr>
      <w:rFonts w:ascii="Calibri" w:hAnsi="Calibri"/>
      <w:kern w:val="2"/>
      <w:sz w:val="18"/>
      <w:szCs w:val="18"/>
    </w:rPr>
  </w:style>
  <w:style w:type="paragraph" w:customStyle="1" w:styleId="2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8">
    <w:name w:val="表里内容（小表五号字）"/>
    <w:basedOn w:val="29"/>
    <w:qFormat/>
    <w:uiPriority w:val="0"/>
    <w:rPr>
      <w:rFonts w:ascii="宋体" w:hAnsi="宋体" w:cs="宋体"/>
      <w:sz w:val="21"/>
      <w:szCs w:val="21"/>
    </w:rPr>
  </w:style>
  <w:style w:type="paragraph" w:customStyle="1" w:styleId="29">
    <w:name w:val="表里内容(大表）"/>
    <w:basedOn w:val="1"/>
    <w:qFormat/>
    <w:uiPriority w:val="0"/>
    <w:pPr>
      <w:overflowPunct w:val="0"/>
      <w:spacing w:before="20" w:beforeLines="20" w:after="20" w:afterLines="20"/>
      <w:ind w:left="56" w:leftChars="20" w:right="56" w:rightChars="20"/>
      <w:jc w:val="left"/>
      <w:textAlignment w:val="baseline"/>
    </w:pPr>
    <w:rPr>
      <w:rFonts w:ascii="Times New Roman" w:hAnsi="Times New Roman"/>
      <w:sz w:val="24"/>
    </w:rPr>
  </w:style>
  <w:style w:type="paragraph" w:styleId="30">
    <w:name w:val="List Paragraph"/>
    <w:basedOn w:val="1"/>
    <w:qFormat/>
    <w:uiPriority w:val="99"/>
    <w:pPr>
      <w:ind w:firstLine="420" w:firstLineChars="200"/>
    </w:pPr>
  </w:style>
  <w:style w:type="character" w:customStyle="1" w:styleId="31">
    <w:name w:val="font41"/>
    <w:basedOn w:val="17"/>
    <w:qFormat/>
    <w:uiPriority w:val="0"/>
    <w:rPr>
      <w:rFonts w:hint="eastAsia" w:ascii="宋体" w:hAnsi="宋体" w:eastAsia="宋体" w:cs="宋体"/>
      <w:b/>
      <w:bCs/>
      <w:color w:val="000000"/>
      <w:sz w:val="20"/>
      <w:szCs w:val="20"/>
      <w:u w:val="none"/>
    </w:rPr>
  </w:style>
  <w:style w:type="character" w:customStyle="1" w:styleId="32">
    <w:name w:val="font31"/>
    <w:basedOn w:val="17"/>
    <w:qFormat/>
    <w:uiPriority w:val="0"/>
    <w:rPr>
      <w:rFonts w:hint="eastAsia" w:ascii="宋体" w:hAnsi="宋体" w:eastAsia="宋体" w:cs="宋体"/>
      <w:color w:val="000000"/>
      <w:sz w:val="20"/>
      <w:szCs w:val="20"/>
      <w:u w:val="none"/>
    </w:rPr>
  </w:style>
  <w:style w:type="character" w:customStyle="1" w:styleId="33">
    <w:name w:val="font61"/>
    <w:basedOn w:val="17"/>
    <w:qFormat/>
    <w:uiPriority w:val="0"/>
    <w:rPr>
      <w:rFonts w:ascii="国标黑体" w:hAnsi="国标黑体" w:eastAsia="国标黑体" w:cs="国标黑体"/>
      <w:color w:val="000000"/>
      <w:sz w:val="20"/>
      <w:szCs w:val="20"/>
      <w:u w:val="none"/>
    </w:rPr>
  </w:style>
  <w:style w:type="character" w:customStyle="1" w:styleId="34">
    <w:name w:val="font71"/>
    <w:basedOn w:val="17"/>
    <w:qFormat/>
    <w:uiPriority w:val="0"/>
    <w:rPr>
      <w:rFonts w:hint="default" w:ascii="国标黑体" w:hAnsi="国标黑体" w:eastAsia="国标黑体" w:cs="国标黑体"/>
      <w:b/>
      <w:bCs/>
      <w:color w:val="000000"/>
      <w:sz w:val="20"/>
      <w:szCs w:val="20"/>
      <w:u w:val="none"/>
    </w:rPr>
  </w:style>
  <w:style w:type="character" w:customStyle="1" w:styleId="35">
    <w:name w:val="font51"/>
    <w:basedOn w:val="17"/>
    <w:qFormat/>
    <w:uiPriority w:val="0"/>
    <w:rPr>
      <w:rFonts w:hint="eastAsia" w:ascii="宋体" w:hAnsi="宋体" w:eastAsia="宋体" w:cs="宋体"/>
      <w:b/>
      <w:bCs/>
      <w:color w:val="000000"/>
      <w:sz w:val="22"/>
      <w:szCs w:val="22"/>
      <w:u w:val="none"/>
    </w:rPr>
  </w:style>
  <w:style w:type="character" w:customStyle="1" w:styleId="36">
    <w:name w:val="font01"/>
    <w:basedOn w:val="17"/>
    <w:qFormat/>
    <w:uiPriority w:val="0"/>
    <w:rPr>
      <w:rFonts w:hint="eastAsia" w:ascii="宋体" w:hAnsi="宋体" w:eastAsia="宋体" w:cs="宋体"/>
      <w:color w:val="000000"/>
      <w:sz w:val="22"/>
      <w:szCs w:val="22"/>
      <w:u w:val="none"/>
    </w:rPr>
  </w:style>
  <w:style w:type="character" w:customStyle="1" w:styleId="37">
    <w:name w:val="font81"/>
    <w:basedOn w:val="17"/>
    <w:qFormat/>
    <w:uiPriority w:val="0"/>
    <w:rPr>
      <w:rFonts w:hint="eastAsia" w:ascii="宋体" w:hAnsi="宋体" w:eastAsia="宋体" w:cs="宋体"/>
      <w:b/>
      <w:bCs/>
      <w:color w:val="00CCFF"/>
      <w:sz w:val="20"/>
      <w:szCs w:val="20"/>
      <w:u w:val="none"/>
    </w:rPr>
  </w:style>
  <w:style w:type="character" w:customStyle="1" w:styleId="38">
    <w:name w:val="font91"/>
    <w:basedOn w:val="17"/>
    <w:qFormat/>
    <w:uiPriority w:val="0"/>
    <w:rPr>
      <w:rFonts w:hint="eastAsia" w:ascii="宋体" w:hAnsi="宋体" w:eastAsia="宋体" w:cs="宋体"/>
      <w:color w:val="00CCFF"/>
      <w:sz w:val="20"/>
      <w:szCs w:val="20"/>
      <w:u w:val="none"/>
    </w:rPr>
  </w:style>
  <w:style w:type="character" w:customStyle="1" w:styleId="39">
    <w:name w:val="font101"/>
    <w:basedOn w:val="17"/>
    <w:qFormat/>
    <w:uiPriority w:val="0"/>
    <w:rPr>
      <w:rFonts w:hint="eastAsia" w:ascii="宋体" w:hAnsi="宋体" w:eastAsia="宋体" w:cs="宋体"/>
      <w:b/>
      <w:bCs/>
      <w:color w:val="000000"/>
      <w:sz w:val="20"/>
      <w:szCs w:val="20"/>
      <w:u w:val="none"/>
    </w:rPr>
  </w:style>
  <w:style w:type="character" w:customStyle="1" w:styleId="40">
    <w:name w:val="font111"/>
    <w:basedOn w:val="17"/>
    <w:qFormat/>
    <w:uiPriority w:val="0"/>
    <w:rPr>
      <w:rFonts w:hint="eastAsia" w:ascii="宋体" w:hAnsi="宋体" w:eastAsia="宋体" w:cs="宋体"/>
      <w:color w:val="000000"/>
      <w:sz w:val="24"/>
      <w:szCs w:val="24"/>
      <w:u w:val="none"/>
    </w:rPr>
  </w:style>
  <w:style w:type="character" w:customStyle="1" w:styleId="41">
    <w:name w:val="font121"/>
    <w:basedOn w:val="17"/>
    <w:qFormat/>
    <w:uiPriority w:val="0"/>
    <w:rPr>
      <w:rFonts w:hint="eastAsia" w:ascii="宋体" w:hAnsi="宋体" w:eastAsia="宋体" w:cs="宋体"/>
      <w:color w:val="0000FF"/>
      <w:sz w:val="24"/>
      <w:szCs w:val="24"/>
      <w:u w:val="none"/>
    </w:rPr>
  </w:style>
  <w:style w:type="character" w:customStyle="1" w:styleId="42">
    <w:name w:val="font131"/>
    <w:basedOn w:val="17"/>
    <w:qFormat/>
    <w:uiPriority w:val="0"/>
    <w:rPr>
      <w:rFonts w:hint="eastAsia" w:ascii="宋体" w:hAnsi="宋体" w:eastAsia="宋体" w:cs="宋体"/>
      <w:b/>
      <w:bCs/>
      <w:color w:val="000000"/>
      <w:sz w:val="24"/>
      <w:szCs w:val="24"/>
      <w:u w:val="none"/>
    </w:rPr>
  </w:style>
  <w:style w:type="character" w:customStyle="1" w:styleId="43">
    <w:name w:val="font142"/>
    <w:basedOn w:val="17"/>
    <w:qFormat/>
    <w:uiPriority w:val="0"/>
    <w:rPr>
      <w:rFonts w:hint="eastAsia" w:ascii="宋体" w:hAnsi="宋体" w:eastAsia="宋体" w:cs="宋体"/>
      <w:b/>
      <w:bCs/>
      <w:color w:val="000000"/>
      <w:sz w:val="20"/>
      <w:szCs w:val="20"/>
      <w:u w:val="none"/>
    </w:rPr>
  </w:style>
  <w:style w:type="character" w:customStyle="1" w:styleId="44">
    <w:name w:val="font151"/>
    <w:basedOn w:val="17"/>
    <w:qFormat/>
    <w:uiPriority w:val="0"/>
    <w:rPr>
      <w:rFonts w:hint="eastAsia" w:ascii="宋体" w:hAnsi="宋体" w:eastAsia="宋体" w:cs="宋体"/>
      <w:strike/>
      <w:color w:val="000000"/>
      <w:sz w:val="20"/>
      <w:szCs w:val="20"/>
    </w:rPr>
  </w:style>
  <w:style w:type="paragraph" w:customStyle="1" w:styleId="45">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云南省人大常委会</Company>
  <Pages>26</Pages>
  <Words>2610</Words>
  <Characters>2644</Characters>
  <Lines>1</Lines>
  <Paragraphs>1</Paragraphs>
  <TotalTime>11</TotalTime>
  <ScaleCrop>false</ScaleCrop>
  <LinksUpToDate>false</LinksUpToDate>
  <CharactersWithSpaces>2656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2022-06-05T16:41:00Z</dcterms:created>
  <dc:creator>ph</dc:creator>
  <cp:lastModifiedBy>wps</cp:lastModifiedBy>
  <cp:lastPrinted>2026-05-24T19:09:00Z</cp:lastPrinted>
  <dcterms:modified xsi:type="dcterms:W3CDTF">2026-06-15T06:19:26Z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EC86EB529EFE46C8A1C99FF99CB3C2F4_13</vt:lpwstr>
  </property>
  <property fmtid="{D5CDD505-2E9C-101B-9397-08002B2CF9AE}" pid="4" name="KSOTemplateDocerSaveRecord">
    <vt:lpwstr>eyJoZGlkIjoiYWQ2NjY2NTBhNmZhYjZkZDdiZjlhY2Q3NjkyNWJkYzMiLCJ1c2VySWQiOiIyNzk0MDM3MjkifQ==</vt:lpwstr>
  </property>
</Properties>
</file>